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1E" w:rsidRDefault="0063761E" w:rsidP="006376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3048000"/>
            <wp:effectExtent l="19050" t="0" r="0" b="0"/>
            <wp:docPr id="1" name="Рисунок 1" descr="https://sun9-11.userapi.com/impg/EDc5zJCrn0Kp7itSWH4AfNMvnrNwuJwNaAL6vw/E7BmGg7c7uY.jpg?size=604x320&amp;quality=96&amp;sign=a69a13fe5971c33ff2cfd155af7054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EDc5zJCrn0Kp7itSWH4AfNMvnrNwuJwNaAL6vw/E7BmGg7c7uY.jpg?size=604x320&amp;quality=96&amp;sign=a69a13fe5971c33ff2cfd155af70546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1E" w:rsidRDefault="0063761E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</w:t>
      </w:r>
      <w:r w:rsidRPr="006902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порядке обучения по</w:t>
      </w:r>
      <w:r w:rsidRPr="006376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охране труда после отмены 1/29.</w:t>
      </w: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Проект нового порядка </w:t>
      </w:r>
      <w:proofErr w:type="gramStart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обучения по охране</w:t>
      </w:r>
      <w:proofErr w:type="gramEnd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труда</w:t>
      </w: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C 1 марта 2022 года вступает в силу новая редакция Х раздела ТК, знаменующая собой переход от реагирования на произошедшие аварии и профзаболевания к раннему выявлению предпосылок к ним и превентивным мерам.</w:t>
      </w: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Минтруд, стараясь успеть к этой дате подготовить новый Порядок обучения и проверки </w:t>
      </w:r>
      <w:proofErr w:type="gramStart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организаций, опубликовал на официальном портале проектов нормативных правовых актов свое видение этого важнейшего документа. </w:t>
      </w: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Планируется, что с 1 марта 2022 года действующее Постановление Минтруда и Минобразования России от 13 января 2003 г. № 1/29 утратит свою силу, прослужив более 18 лет. Учитывая важность принятия нового порядка для обеспечения охраны </w:t>
      </w:r>
      <w:proofErr w:type="gramStart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труда</w:t>
      </w:r>
      <w:proofErr w:type="gramEnd"/>
      <w:r w:rsidRPr="006376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работающего населения и национальной безопасности в целом, утверждение нового Порядка передано Правительству Российской Федерации. Ранее утверждением Порядка № 1/29 совместно занимались Минобразования и Минтруд России.</w:t>
      </w:r>
    </w:p>
    <w:p w:rsidR="00690275" w:rsidRPr="0063761E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90275" w:rsidRPr="0063761E" w:rsidRDefault="00690275" w:rsidP="0063761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нововведения в порядке </w:t>
      </w:r>
      <w:proofErr w:type="gramStart"/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охране</w:t>
      </w:r>
      <w:proofErr w:type="gramEnd"/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труда: что изменилось по сравнению с 1/29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>Действующий на сегодняшний день Порядок обучения № 1/29 вступил в силу 5 марта 2003 года, спустя год после вступления в законную силу самой первой редакции Трудового кодекса Российской Федерации (1 февраля 2002 года). Таким образом, мы проработали по Порядку № 1/29 уже 18 лет.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 xml:space="preserve">Важность нового Порядка обучения трудно переоценить. От скрупулезного следования каждому пункту этого документа зависит, сможет ли теперь работодатель сам проводить </w:t>
      </w:r>
      <w:proofErr w:type="gramStart"/>
      <w:r w:rsidRPr="0063761E">
        <w:rPr>
          <w:color w:val="000000"/>
        </w:rPr>
        <w:t>обучение по охране</w:t>
      </w:r>
      <w:proofErr w:type="gramEnd"/>
      <w:r w:rsidRPr="0063761E">
        <w:rPr>
          <w:color w:val="000000"/>
        </w:rPr>
        <w:t xml:space="preserve"> труда для своих нужд, или придется отдать этот процесс учебному центру. Следовательно, затраты возрастут и ощутимо. Законодатели настолько сильно усложнили процедуру внутренней подготовки по охране труда, что начинаешь поневоле завидовать тем, кто сегодня ничего не делает для обучения, пребывая в счастливом неведении.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>Давайте рассмотрим основные нововведения в порядке обучения, и за основу для этого возьмем редакцию проекта от 20 августа 2021 года. Если и эта редакция будет изменена, мы вам обязательно и своевременно сообщим и прокомментируем.</w:t>
      </w:r>
    </w:p>
    <w:p w:rsidR="00690275" w:rsidRPr="0063761E" w:rsidRDefault="00690275" w:rsidP="0063761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подготовиться к вступлению в силу нового Порядка проверки знаний </w:t>
      </w:r>
      <w:proofErr w:type="gramStart"/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Pr="0063761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="MS Mincho" w:hAnsi="MS Mincho"/>
          <w:color w:val="000000"/>
        </w:rPr>
        <w:t>✓</w:t>
      </w:r>
      <w:r w:rsidRPr="0063761E">
        <w:rPr>
          <w:color w:val="000000"/>
        </w:rPr>
        <w:t> До 1 марта 2022 года специалисты по охране труда, помимо указанных в нашей таблице обязательных мероприятий, должны составить </w:t>
      </w:r>
      <w:r w:rsidRPr="0063761E">
        <w:rPr>
          <w:rStyle w:val="a3"/>
          <w:rFonts w:eastAsiaTheme="majorEastAsia"/>
          <w:color w:val="000000"/>
        </w:rPr>
        <w:t xml:space="preserve">Перечень профессий и </w:t>
      </w:r>
      <w:r w:rsidRPr="0063761E">
        <w:rPr>
          <w:rStyle w:val="a3"/>
          <w:rFonts w:eastAsiaTheme="majorEastAsia"/>
          <w:color w:val="000000"/>
        </w:rPr>
        <w:lastRenderedPageBreak/>
        <w:t>должностей работников, ответственных за организацию работ повышенной опасности, подлежащих обучению требованиям охраны труда</w:t>
      </w:r>
      <w:r w:rsidRPr="0063761E">
        <w:rPr>
          <w:color w:val="000000"/>
        </w:rPr>
        <w:t> по программам, указанным в подпункте 3 пункта 43 Порядка-2022. Такой документ должен утвердить работодатель или его уполномоченное лицо. 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="MS Mincho" w:hAnsi="MS Mincho"/>
          <w:color w:val="000000"/>
        </w:rPr>
        <w:t>✓</w:t>
      </w:r>
      <w:r w:rsidRPr="0063761E">
        <w:rPr>
          <w:color w:val="000000"/>
        </w:rPr>
        <w:t> Также нужно составить </w:t>
      </w:r>
      <w:r w:rsidRPr="0063761E">
        <w:rPr>
          <w:rStyle w:val="a3"/>
          <w:rFonts w:eastAsiaTheme="majorEastAsia"/>
          <w:color w:val="000000"/>
        </w:rPr>
        <w:t>Перечень профессий и должностей работников, подлежащих обучению</w:t>
      </w:r>
      <w:r w:rsidRPr="0063761E">
        <w:rPr>
          <w:color w:val="000000"/>
        </w:rPr>
        <w:t>. Это – основной документ, определяющий, кто должен обучаться в УЦ, кто может обучаться в организации работодателя при условии подачи уведомления и создания личного кабинета на портале Минтруда.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Theme="majorEastAsia"/>
          <w:color w:val="000000"/>
        </w:rPr>
        <w:t>Перечень должен включать в себя следующую информацию: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наименования профессий (должностей) работников в соответствии со штатным расписанием организации;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коды профессий (должностей) работников по ОКПДТР (при наличии);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наименования структурных подразделений организации работников;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номера рабочих мест по данным СОУТ и (или) </w:t>
      </w:r>
      <w:proofErr w:type="gramStart"/>
      <w:r w:rsidRPr="0063761E">
        <w:rPr>
          <w:rFonts w:ascii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количество работников на рабочих местах в соответствии со штатным расписанием организации;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наименования программ </w:t>
      </w:r>
      <w:proofErr w:type="gramStart"/>
      <w:r w:rsidRPr="0063761E">
        <w:rPr>
          <w:rFonts w:ascii="Times New Roman" w:hAnsi="Times New Roman" w:cs="Times New Roman"/>
          <w:color w:val="000000"/>
          <w:sz w:val="24"/>
          <w:szCs w:val="24"/>
        </w:rPr>
        <w:t>обучения работников по охране</w:t>
      </w:r>
      <w:proofErr w:type="gramEnd"/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 труда;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наименования организации, проводящей </w:t>
      </w:r>
      <w:proofErr w:type="gramStart"/>
      <w:r w:rsidRPr="0063761E"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63761E">
        <w:rPr>
          <w:rFonts w:ascii="Times New Roman" w:hAnsi="Times New Roman" w:cs="Times New Roman"/>
          <w:color w:val="000000"/>
          <w:sz w:val="24"/>
          <w:szCs w:val="24"/>
        </w:rPr>
        <w:t xml:space="preserve"> труда (работодатель или организация, оказывающая услуги обучения по охране труда);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наименования локальных нормативных актов работодателя по организации стажировки на рабочем месте;</w:t>
      </w:r>
    </w:p>
    <w:p w:rsidR="00690275" w:rsidRPr="0063761E" w:rsidRDefault="00690275" w:rsidP="006376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1E">
        <w:rPr>
          <w:rFonts w:ascii="Times New Roman" w:hAnsi="Times New Roman" w:cs="Times New Roman"/>
          <w:color w:val="000000"/>
          <w:sz w:val="24"/>
          <w:szCs w:val="24"/>
        </w:rPr>
        <w:t>наименования локальных нормативных актов работодателя по организации первичного инструктажа по охране труда.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="MS Mincho" w:hAnsi="MS Mincho"/>
          <w:color w:val="000000"/>
        </w:rPr>
        <w:t>✓</w:t>
      </w:r>
      <w:r w:rsidRPr="0063761E">
        <w:rPr>
          <w:color w:val="000000"/>
        </w:rPr>
        <w:t> Уже сейчас вы можете попросить кадровиков сформировать в кадровом </w:t>
      </w:r>
      <w:r w:rsidRPr="0063761E">
        <w:rPr>
          <w:rStyle w:val="a3"/>
          <w:rFonts w:eastAsiaTheme="majorEastAsia"/>
          <w:color w:val="000000"/>
        </w:rPr>
        <w:t>учете перечень всех должностей с указанием кода профессии</w:t>
      </w:r>
      <w:r w:rsidRPr="0063761E">
        <w:rPr>
          <w:color w:val="000000"/>
        </w:rPr>
        <w:t> (должности). Профессии рабочих начинаются на 1, а руководителей, специалистов, служащих – на 2. Перечень должностей должен содержать сведения не только о коде профессии, но еще и № карты СОУТ.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 xml:space="preserve">Напротив каждой должности нужно указать количество работников на рабочих местах по штатному расписанию. Поэтому срочно дружите с отделом кадров – нам </w:t>
      </w:r>
      <w:proofErr w:type="gramStart"/>
      <w:r w:rsidRPr="0063761E">
        <w:rPr>
          <w:color w:val="000000"/>
        </w:rPr>
        <w:t>без</w:t>
      </w:r>
      <w:proofErr w:type="gramEnd"/>
      <w:r w:rsidRPr="0063761E">
        <w:rPr>
          <w:color w:val="000000"/>
        </w:rPr>
        <w:t xml:space="preserve"> никуда. Укажите в Перечне наименования программ </w:t>
      </w:r>
      <w:proofErr w:type="gramStart"/>
      <w:r w:rsidRPr="0063761E">
        <w:rPr>
          <w:color w:val="000000"/>
        </w:rPr>
        <w:t>обучения работников по охране</w:t>
      </w:r>
      <w:proofErr w:type="gramEnd"/>
      <w:r w:rsidRPr="0063761E">
        <w:rPr>
          <w:color w:val="000000"/>
        </w:rPr>
        <w:t xml:space="preserve"> труда.</w:t>
      </w:r>
    </w:p>
    <w:p w:rsidR="00690275" w:rsidRPr="0063761E" w:rsidRDefault="0063761E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>В</w:t>
      </w:r>
      <w:r w:rsidR="00690275" w:rsidRPr="0063761E">
        <w:rPr>
          <w:color w:val="000000"/>
        </w:rPr>
        <w:t xml:space="preserve">се, у кого проставлен код ОКПДТР, начинающийся с 1, подлежит обязательному обучению оказанию первой помощи. Все, у кого в личных карточках </w:t>
      </w:r>
      <w:proofErr w:type="gramStart"/>
      <w:r w:rsidR="00690275" w:rsidRPr="0063761E">
        <w:rPr>
          <w:color w:val="000000"/>
        </w:rPr>
        <w:t>указаны</w:t>
      </w:r>
      <w:proofErr w:type="gramEnd"/>
      <w:r w:rsidR="00690275" w:rsidRPr="0063761E">
        <w:rPr>
          <w:color w:val="000000"/>
        </w:rPr>
        <w:t xml:space="preserve"> СИЗ 2 класса, в том числе очищающие и смывающие средства защиты кожи, должны проходить обучение применению СИЗ.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 xml:space="preserve">Таким </w:t>
      </w:r>
      <w:proofErr w:type="gramStart"/>
      <w:r w:rsidRPr="0063761E">
        <w:rPr>
          <w:color w:val="000000"/>
        </w:rPr>
        <w:t>образом</w:t>
      </w:r>
      <w:proofErr w:type="gramEnd"/>
      <w:r w:rsidRPr="0063761E">
        <w:rPr>
          <w:color w:val="000000"/>
        </w:rPr>
        <w:t xml:space="preserve"> вы уже сейчас сможете не только определить, сколько человек учить в УЦ, а сколько у себя, но и запланировать бюджет по охране труда на 2022 год с учетом вступления в силу нового порядка обучения.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="MS Mincho" w:hAnsi="MS Mincho"/>
          <w:color w:val="000000"/>
        </w:rPr>
        <w:t>✓</w:t>
      </w:r>
      <w:r w:rsidRPr="0063761E">
        <w:rPr>
          <w:color w:val="000000"/>
        </w:rPr>
        <w:t> Придется переделывать </w:t>
      </w:r>
      <w:r w:rsidRPr="0063761E">
        <w:rPr>
          <w:rStyle w:val="a3"/>
          <w:rFonts w:eastAsiaTheme="majorEastAsia"/>
          <w:color w:val="000000"/>
        </w:rPr>
        <w:t>журналы регистрации вводного инструктажа и инструктажей на рабочем месте</w:t>
      </w:r>
      <w:r w:rsidRPr="0063761E">
        <w:rPr>
          <w:color w:val="000000"/>
        </w:rPr>
        <w:t>. Но это самое легкое из всех изменений, которые нам предстоят.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rStyle w:val="a3"/>
          <w:rFonts w:eastAsia="MS Mincho" w:hAnsi="MS Mincho"/>
          <w:color w:val="000000"/>
        </w:rPr>
        <w:t>✓</w:t>
      </w:r>
      <w:r w:rsidRPr="0063761E">
        <w:rPr>
          <w:color w:val="000000"/>
        </w:rPr>
        <w:t> В свободное до марта время можно начать </w:t>
      </w:r>
      <w:r w:rsidRPr="0063761E">
        <w:rPr>
          <w:rStyle w:val="a3"/>
          <w:rFonts w:eastAsiaTheme="majorEastAsia"/>
          <w:color w:val="000000"/>
        </w:rPr>
        <w:t xml:space="preserve">разработку программ инструктажей, стажировок и </w:t>
      </w:r>
      <w:proofErr w:type="gramStart"/>
      <w:r w:rsidRPr="0063761E">
        <w:rPr>
          <w:rStyle w:val="a3"/>
          <w:rFonts w:eastAsiaTheme="majorEastAsia"/>
          <w:color w:val="000000"/>
        </w:rPr>
        <w:t>обучения по охране</w:t>
      </w:r>
      <w:proofErr w:type="gramEnd"/>
      <w:r w:rsidRPr="0063761E">
        <w:rPr>
          <w:rStyle w:val="a3"/>
          <w:rFonts w:eastAsiaTheme="majorEastAsia"/>
          <w:color w:val="000000"/>
        </w:rPr>
        <w:t xml:space="preserve"> труда</w:t>
      </w:r>
      <w:r w:rsidRPr="0063761E">
        <w:rPr>
          <w:color w:val="000000"/>
        </w:rPr>
        <w:t>. Работа эта сложная, и провести ее в одиночку не под силу. Привлекайте для этого ведущих специалистов, руководителей структурных подразделений, но не самоустраняйтесь.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761E">
        <w:rPr>
          <w:color w:val="000000"/>
        </w:rPr>
        <w:t>Новый порядок обучения – документ сложный, требующий вдумчивого изучения, долгого привыкания, но нужно отметить его четкую структурированность, отсутствие недосказанности, витиеватых поворотов от физики к лирике, то есть ко всему тому, к чему мы привыкли за эти долгие, но прекрасные 18 лет с прежним порядком обучения.</w:t>
      </w:r>
    </w:p>
    <w:p w:rsidR="00690275" w:rsidRPr="0063761E" w:rsidRDefault="00690275" w:rsidP="00637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90275" w:rsidRPr="00690275" w:rsidRDefault="00690275" w:rsidP="006376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B0F47" w:rsidRPr="0063761E" w:rsidRDefault="004B0F47" w:rsidP="0063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0F47" w:rsidRPr="0063761E" w:rsidSect="006376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6C2"/>
    <w:multiLevelType w:val="multilevel"/>
    <w:tmpl w:val="D13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75"/>
    <w:rsid w:val="004B0F47"/>
    <w:rsid w:val="0063761E"/>
    <w:rsid w:val="00690275"/>
    <w:rsid w:val="00E4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7"/>
  </w:style>
  <w:style w:type="paragraph" w:styleId="1">
    <w:name w:val="heading 1"/>
    <w:basedOn w:val="a"/>
    <w:link w:val="10"/>
    <w:uiPriority w:val="9"/>
    <w:qFormat/>
    <w:rsid w:val="0069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90275"/>
    <w:rPr>
      <w:b/>
      <w:bCs/>
    </w:rPr>
  </w:style>
  <w:style w:type="paragraph" w:styleId="a4">
    <w:name w:val="Normal (Web)"/>
    <w:basedOn w:val="a"/>
    <w:uiPriority w:val="99"/>
    <w:semiHidden/>
    <w:unhideWhenUsed/>
    <w:rsid w:val="0069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631">
          <w:marLeft w:val="0"/>
          <w:marRight w:val="0"/>
          <w:marTop w:val="0"/>
          <w:marBottom w:val="525"/>
          <w:divBdr>
            <w:top w:val="none" w:sz="0" w:space="0" w:color="auto"/>
            <w:left w:val="single" w:sz="24" w:space="15" w:color="FADF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2021-11-18T07:52:00Z</dcterms:created>
  <dcterms:modified xsi:type="dcterms:W3CDTF">2021-11-18T07:52:00Z</dcterms:modified>
</cp:coreProperties>
</file>