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B2" w:rsidRDefault="000031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152900"/>
            <wp:effectExtent l="19050" t="0" r="3175" b="0"/>
            <wp:docPr id="1" name="Рисунок 1" descr="C:\Users\User.User-ПК\Desktop\Куприсова\статьи для совещаний\картинки для презентаций\СИЗЫ м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СИЗЫ мн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F1" w:rsidRPr="00F42797" w:rsidRDefault="00F42797">
      <w:pPr>
        <w:rPr>
          <w:rFonts w:ascii="Times New Roman" w:hAnsi="Times New Roman" w:cs="Times New Roman"/>
          <w:b/>
          <w:sz w:val="32"/>
          <w:szCs w:val="32"/>
        </w:rPr>
      </w:pPr>
      <w:r w:rsidRPr="00F42797">
        <w:rPr>
          <w:rFonts w:ascii="Times New Roman" w:hAnsi="Times New Roman" w:cs="Times New Roman"/>
          <w:b/>
          <w:sz w:val="32"/>
          <w:szCs w:val="32"/>
        </w:rPr>
        <w:t>Нормы бесплатной выдачи спецодежды: перечень профессий и НПА</w:t>
      </w:r>
    </w:p>
    <w:p w:rsid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Типовые нормы выдачи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2020 года по профессиям — это нормативы, утвержденные ведомственными приказами Минтруда и </w:t>
      </w:r>
      <w:proofErr w:type="spellStart"/>
      <w:r w:rsidRPr="00F4279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42797">
        <w:rPr>
          <w:rFonts w:ascii="Times New Roman" w:hAnsi="Times New Roman" w:cs="Times New Roman"/>
          <w:sz w:val="24"/>
          <w:szCs w:val="24"/>
        </w:rPr>
        <w:t>, конкретизирующие общие положения Трудового кодекса о мерах защиты здоровья работников. В соответствии с этими документами, выдать специальную обувь, специальную одежду и средства индивидуальной защиты работодатели должны представителям 195 профессий.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Согласно статье 209 ТК РФ, специальная одежда, обувь и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— это средства индивидуального пользования гражданами для предохранения от неблагоприятных производственных факторов и загрязнения.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В настоящее время действует приказ Минтруда от 09.12.2014 № 997н, которым утверждены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и на работах, выполняемых в особых температурных условиях или связанных с загрязнением».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F4279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42797">
        <w:rPr>
          <w:rFonts w:ascii="Times New Roman" w:hAnsi="Times New Roman" w:cs="Times New Roman"/>
          <w:sz w:val="24"/>
          <w:szCs w:val="24"/>
        </w:rPr>
        <w:t xml:space="preserve"> выпустил собственный приказ 290н о типовых нормах бесплатной выдачи специальной одежды, правилах выдачи, применения, хранения СИЗ.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Именно этими документами определен порядок исполнения обязанности работодателей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выдавать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работникам специальную одежду, обувь и средства индивидуальной защиты. Такие требования закреплены в статье 221 Трудового кодекса РФ в отношении всех работников определенных профессий, занятых на работах с вредными условиями труда, и на грязной работе. В перечне профессий, для которых действуют общие нормы выдачи спецодежды в 2020 году по профессиям, содержится 195 специальностей. Кроме этого, действуют еще ведомственные нормативно-правовые акты (НПА) в различных экономических отраслях. Разберемся с документами и нормами подробнее.</w:t>
      </w:r>
    </w:p>
    <w:p w:rsidR="00F42797" w:rsidRPr="00F42797" w:rsidRDefault="006E242C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НПА</w:t>
      </w:r>
      <w:r w:rsidR="00F42797" w:rsidRPr="00F42797">
        <w:rPr>
          <w:rFonts w:ascii="Times New Roman" w:hAnsi="Times New Roman" w:cs="Times New Roman"/>
          <w:sz w:val="24"/>
          <w:szCs w:val="24"/>
          <w:u w:val="single"/>
        </w:rPr>
        <w:t xml:space="preserve"> о нормах выдачи спецодежды и </w:t>
      </w:r>
      <w:proofErr w:type="gramStart"/>
      <w:r w:rsidR="00F42797" w:rsidRPr="00F42797">
        <w:rPr>
          <w:rFonts w:ascii="Times New Roman" w:hAnsi="Times New Roman" w:cs="Times New Roman"/>
          <w:sz w:val="24"/>
          <w:szCs w:val="24"/>
          <w:u w:val="single"/>
        </w:rPr>
        <w:t>СИЗ</w:t>
      </w:r>
      <w:proofErr w:type="gramEnd"/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lastRenderedPageBreak/>
        <w:t>Требования об обеспечении работников средствами защиты и специальной одеждой закреплены в статьях 212, 221, 229.2 и 330.5 Трудового кодекса РФ (ТК РФ). Работодатели обязаны бесплатно выдать их в соответствии с установленными нормативами. Сама организация вправе на основании внутреннего локального акта, например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особого распоряжения, уменьшить интервал использования СИЗ или увеличить нормы их выдачи. Уменьшать нормы работодателям категорически запрещено. Кроме того, спецодежду выдают на основании результатов специальной оценки условий труда (СОУТ).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Кроме норм ТК РФ, типовые нормы выдачи спецодежды 2020 по профессиям для всех отраслей экономики закреплены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таких НПА, как: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>приказ Минтруда России от 9 декабря 2014 года № 997н (общие требования);</w:t>
      </w:r>
    </w:p>
    <w:p w:rsidR="00F42797" w:rsidRPr="00F42797" w:rsidRDefault="00F42797" w:rsidP="00F4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4279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42797">
        <w:rPr>
          <w:rFonts w:ascii="Times New Roman" w:hAnsi="Times New Roman" w:cs="Times New Roman"/>
          <w:sz w:val="24"/>
          <w:szCs w:val="24"/>
        </w:rPr>
        <w:t xml:space="preserve"> России от 20 апреля 2006 года № 297 (требования к сигнальной спецодежде);</w:t>
      </w:r>
    </w:p>
    <w:p w:rsid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>постановление Минтруда РФ от 31 декабря 1997 года № 70 (требования к теплой спецодежде).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Кроме того, типовые инструкции по охране труда, нормы спецодежды, </w:t>
      </w:r>
      <w:proofErr w:type="spellStart"/>
      <w:r w:rsidRPr="00F42797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F427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по перечню профессий и должностей и сроки их выдачи для различных отраслей экономики регламентированы отдельными НПА. В России сейчас действует огромное количество документов федерального, регионального, отраслевого уровня, поэтому при определении норм выдачи бесплатной одежды и средств индивидуальной защиты организации должны ориентироваться на все нормативные документы, подходящие под их род деятельности.</w:t>
      </w:r>
    </w:p>
    <w:p w:rsidR="00F42797" w:rsidRDefault="00F42797" w:rsidP="00F4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97" w:rsidRPr="00F42797" w:rsidRDefault="00F42797" w:rsidP="00F427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4279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Примерный перечень по основным отраслям мы собрали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5"/>
        <w:gridCol w:w="6310"/>
      </w:tblGrid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b/>
                <w:bCs/>
                <w:color w:val="212529"/>
                <w:sz w:val="30"/>
                <w:lang w:eastAsia="ru-RU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b/>
                <w:bCs/>
                <w:color w:val="212529"/>
                <w:sz w:val="30"/>
                <w:lang w:eastAsia="ru-RU"/>
              </w:rPr>
              <w:t xml:space="preserve">НПА, регулирующие выдачу 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b/>
                <w:bCs/>
                <w:color w:val="212529"/>
                <w:sz w:val="30"/>
                <w:lang w:eastAsia="ru-RU"/>
              </w:rPr>
              <w:t>СИЗ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b/>
                <w:bCs/>
                <w:color w:val="212529"/>
                <w:sz w:val="30"/>
                <w:lang w:eastAsia="ru-RU"/>
              </w:rPr>
              <w:t xml:space="preserve"> и спецодежды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Химическое производство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numPr>
                <w:ilvl w:val="0"/>
                <w:numId w:val="1"/>
              </w:numPr>
              <w:spacing w:before="165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 •</w:t>
            </w: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ab/>
              <w:t>от 16.12.1997 № 63 (ред. от 5.05.2012);</w:t>
            </w:r>
          </w:p>
          <w:p w:rsidR="00F42797" w:rsidRPr="00F42797" w:rsidRDefault="00F42797" w:rsidP="00F42797">
            <w:pPr>
              <w:numPr>
                <w:ilvl w:val="0"/>
                <w:numId w:val="1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</w:t>
            </w:r>
            <w:r>
              <w:t xml:space="preserve"> </w:t>
            </w: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России от 29.12.1997 № 68 (ред. от 5.05.2012);</w:t>
            </w:r>
          </w:p>
          <w:p w:rsidR="00F42797" w:rsidRPr="00F42797" w:rsidRDefault="00F42797" w:rsidP="00F42797">
            <w:pPr>
              <w:numPr>
                <w:ilvl w:val="0"/>
                <w:numId w:val="1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РФ от 22.12.2005 № 799;</w:t>
            </w:r>
          </w:p>
          <w:p w:rsidR="00F42797" w:rsidRPr="00F42797" w:rsidRDefault="00F42797" w:rsidP="00F42797">
            <w:pPr>
              <w:numPr>
                <w:ilvl w:val="0"/>
                <w:numId w:val="1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11.08.2011. № 906н (ред. от 20.02.2014)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Сельское и лесное хозяйство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</w:t>
            </w:r>
            <w:r>
              <w:t xml:space="preserve"> </w:t>
            </w: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России от 25.12.1997 № 66 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23.08.2016);</w:t>
            </w:r>
          </w:p>
          <w:p w:rsidR="00F42797" w:rsidRPr="00F42797" w:rsidRDefault="00F42797" w:rsidP="00F42797">
            <w:pPr>
              <w:numPr>
                <w:ilvl w:val="0"/>
                <w:numId w:val="2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 от 29.12.1997 № 68 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5.05.2012);</w:t>
            </w:r>
          </w:p>
          <w:p w:rsidR="00F42797" w:rsidRPr="00F42797" w:rsidRDefault="00F42797" w:rsidP="00F42797">
            <w:pPr>
              <w:numPr>
                <w:ilvl w:val="0"/>
                <w:numId w:val="2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 от 12.08.2008 № 416н 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20.02.2014)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Добыча и переработка полезных ископаемых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</w:t>
            </w:r>
            <w:r>
              <w:t xml:space="preserve"> </w:t>
            </w: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России от 08.12.1997 № 61 (ред. от 05.05.2012);</w:t>
            </w:r>
          </w:p>
          <w:p w:rsidR="00F42797" w:rsidRPr="00F42797" w:rsidRDefault="00F42797" w:rsidP="00F42797">
            <w:pPr>
              <w:numPr>
                <w:ilvl w:val="0"/>
                <w:numId w:val="3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Постановление Минтруда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РФот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07.04.2004 № 43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 ;</w:t>
            </w:r>
            <w:proofErr w:type="gramEnd"/>
          </w:p>
          <w:p w:rsidR="00F42797" w:rsidRPr="00F42797" w:rsidRDefault="00F42797" w:rsidP="00F42797">
            <w:pPr>
              <w:numPr>
                <w:ilvl w:val="0"/>
                <w:numId w:val="3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Приказ Минтруда</w:t>
            </w:r>
            <w:r>
              <w:t xml:space="preserve"> </w:t>
            </w: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России от 02.08.2013 № 341н 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20.02.2014);</w:t>
            </w:r>
          </w:p>
          <w:p w:rsidR="00F42797" w:rsidRPr="00F42797" w:rsidRDefault="00F42797" w:rsidP="00F42797">
            <w:pPr>
              <w:numPr>
                <w:ilvl w:val="0"/>
                <w:numId w:val="3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Приказ Минтруда России от 22.12.2015 № 1110н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Приказ</w:t>
            </w:r>
            <w:r>
              <w:t xml:space="preserve">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16.07.2007 № 477;</w:t>
            </w:r>
          </w:p>
          <w:p w:rsidR="00F42797" w:rsidRPr="00F42797" w:rsidRDefault="00F42797" w:rsidP="00F42797">
            <w:pPr>
              <w:numPr>
                <w:ilvl w:val="0"/>
                <w:numId w:val="4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07.12.2010 № 1077н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numPr>
                <w:ilvl w:val="0"/>
                <w:numId w:val="5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22.10.2008 № 582н (ред. от 20.02.2014);</w:t>
            </w:r>
          </w:p>
          <w:p w:rsidR="00F42797" w:rsidRPr="00F42797" w:rsidRDefault="00F42797" w:rsidP="00F42797">
            <w:pPr>
              <w:numPr>
                <w:ilvl w:val="0"/>
                <w:numId w:val="5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22.06.2009 № 357н (ред. от 20.02.2014);</w:t>
            </w:r>
          </w:p>
          <w:p w:rsidR="00F42797" w:rsidRPr="00F42797" w:rsidRDefault="00F42797" w:rsidP="00F42797">
            <w:pPr>
              <w:numPr>
                <w:ilvl w:val="0"/>
                <w:numId w:val="5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18.06.2010 № 454н 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20.02.2014);</w:t>
            </w:r>
          </w:p>
          <w:p w:rsidR="00F42797" w:rsidRPr="00F42797" w:rsidRDefault="00F42797" w:rsidP="00F42797">
            <w:pPr>
              <w:numPr>
                <w:ilvl w:val="0"/>
                <w:numId w:val="5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07.12.2010 № 1078н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Обрабатывающая промышленность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numPr>
                <w:ilvl w:val="0"/>
                <w:numId w:val="6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от 08.12.1997 № 61 (ред. от 05.05.2012);</w:t>
            </w:r>
          </w:p>
          <w:p w:rsidR="00F42797" w:rsidRPr="00F42797" w:rsidRDefault="00F42797" w:rsidP="00F42797">
            <w:pPr>
              <w:numPr>
                <w:ilvl w:val="0"/>
                <w:numId w:val="6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 от 25.12.1997 № 66 (ред. от 23.08.2016);</w:t>
            </w:r>
          </w:p>
          <w:p w:rsidR="00F42797" w:rsidRPr="00F42797" w:rsidRDefault="00F42797" w:rsidP="00F42797">
            <w:pPr>
              <w:numPr>
                <w:ilvl w:val="0"/>
                <w:numId w:val="6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31.12.2010 № 1247н (ред. от 20.02.2014)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C840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Минэкологии РФ от 20.04.1992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б\н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;</w:t>
            </w:r>
          </w:p>
          <w:p w:rsidR="00F42797" w:rsidRPr="00F42797" w:rsidRDefault="00F42797" w:rsidP="00F42797">
            <w:pPr>
              <w:numPr>
                <w:ilvl w:val="0"/>
                <w:numId w:val="7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 от 16.12.1997 № 63 (ред. от 05.05.2012);</w:t>
            </w:r>
          </w:p>
          <w:p w:rsidR="00F42797" w:rsidRPr="00F42797" w:rsidRDefault="00F42797" w:rsidP="00F42797">
            <w:pPr>
              <w:numPr>
                <w:ilvl w:val="0"/>
                <w:numId w:val="7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 от 25.12.1997 № 66 (ред. от 23.08.2016);</w:t>
            </w:r>
          </w:p>
          <w:p w:rsidR="00F42797" w:rsidRPr="00F42797" w:rsidRDefault="00F42797" w:rsidP="00F42797">
            <w:pPr>
              <w:numPr>
                <w:ilvl w:val="0"/>
                <w:numId w:val="7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 от 29.12.1997 № 68 (ред. от 05.05.2012);</w:t>
            </w:r>
          </w:p>
          <w:p w:rsidR="00F42797" w:rsidRPr="00F42797" w:rsidRDefault="00F42797" w:rsidP="00F42797">
            <w:pPr>
              <w:numPr>
                <w:ilvl w:val="0"/>
                <w:numId w:val="7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03.10.2008 № 543н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Металлургия и машиностроение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numPr>
                <w:ilvl w:val="0"/>
                <w:numId w:val="8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 от 29.12.1997 № 68 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05.05.2012);</w:t>
            </w:r>
          </w:p>
          <w:p w:rsidR="00F42797" w:rsidRPr="00F42797" w:rsidRDefault="00F42797" w:rsidP="00F42797">
            <w:pPr>
              <w:numPr>
                <w:ilvl w:val="0"/>
                <w:numId w:val="8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РФ от 12.10.2001 № 73;</w:t>
            </w:r>
          </w:p>
          <w:p w:rsidR="00F42797" w:rsidRPr="00F42797" w:rsidRDefault="00F42797" w:rsidP="00F42797">
            <w:pPr>
              <w:numPr>
                <w:ilvl w:val="0"/>
                <w:numId w:val="8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06.07.2005 № 442;</w:t>
            </w:r>
          </w:p>
          <w:p w:rsidR="00F42797" w:rsidRPr="00F42797" w:rsidRDefault="00F42797" w:rsidP="00F42797">
            <w:pPr>
              <w:numPr>
                <w:ilvl w:val="0"/>
                <w:numId w:val="8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от 14.12.2010 № 1104н 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20.02.2014);</w:t>
            </w:r>
          </w:p>
          <w:p w:rsidR="00F42797" w:rsidRPr="00F42797" w:rsidRDefault="00F42797" w:rsidP="00F42797">
            <w:pPr>
              <w:numPr>
                <w:ilvl w:val="0"/>
                <w:numId w:val="8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Приказ Минтруда России от 01.11.2013 № 652н;</w:t>
            </w:r>
          </w:p>
          <w:p w:rsidR="00F42797" w:rsidRPr="00F42797" w:rsidRDefault="00F42797" w:rsidP="00F42797">
            <w:pPr>
              <w:numPr>
                <w:ilvl w:val="0"/>
                <w:numId w:val="8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Приказ Минтруда России от 03.11.2015 № 844н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Образование и наука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C840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 от 16.12.1997 № 63 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05.05.2012);</w:t>
            </w:r>
          </w:p>
          <w:p w:rsidR="00F42797" w:rsidRPr="00F42797" w:rsidRDefault="00F42797" w:rsidP="00C840BC">
            <w:pPr>
              <w:numPr>
                <w:ilvl w:val="0"/>
                <w:numId w:val="9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 от 25.12.1997 № 66 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23.08.2016);</w:t>
            </w:r>
          </w:p>
          <w:p w:rsidR="00F42797" w:rsidRPr="00F42797" w:rsidRDefault="00F42797" w:rsidP="00C840BC">
            <w:pPr>
              <w:numPr>
                <w:ilvl w:val="0"/>
                <w:numId w:val="9"/>
              </w:numPr>
              <w:spacing w:before="165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Постановление Минтруда России от 29.12.1997 № 68 (ред</w:t>
            </w:r>
            <w:proofErr w:type="gramStart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.о</w:t>
            </w:r>
            <w:proofErr w:type="gramEnd"/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 05.05.2012)</w:t>
            </w:r>
          </w:p>
        </w:tc>
      </w:tr>
      <w:tr w:rsidR="00F42797" w:rsidRPr="00F42797" w:rsidTr="00F42797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F4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42797" w:rsidRPr="00F42797" w:rsidRDefault="00F42797" w:rsidP="00C840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279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Приказ Минтруда РФ от 10 декабря 2018 г. № 778н</w:t>
            </w:r>
          </w:p>
        </w:tc>
      </w:tr>
    </w:tbl>
    <w:p w:rsidR="00F42797" w:rsidRPr="00F42797" w:rsidRDefault="00F42797" w:rsidP="00F42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>Приказ Минтруда РФ от 10 декабря 2018 г. № 778н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В пункте 9 Межотраслевых правил сказано, что каждый работодатель обязан информировать работников о том, какую одежду, обувь и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СИЗ он обязан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им выдать. Обычно это происходит в момент подписания трудового договора. Причем предусмотрено как отдельное ознакомление под подпись с типовыми нормами выдачи, соответствующими профессии, так и включение этих норм непосредственно в трудовой договор.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797">
        <w:rPr>
          <w:rFonts w:ascii="Times New Roman" w:hAnsi="Times New Roman" w:cs="Times New Roman"/>
          <w:sz w:val="24"/>
          <w:szCs w:val="24"/>
          <w:u w:val="single"/>
        </w:rPr>
        <w:t>Требования к одежде и средствам защиты</w:t>
      </w:r>
    </w:p>
    <w:p w:rsid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Любые СИЗ или одежда и обувь обязательно должны иметь сертификат или декларацию соответствия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ТС 019/2011 «О безопасности средств индивидуальной защиты». Все нормативы установлены в штуках, парах и комплектах в годовом исчислении. Сроки эксплуатации обычной и утепленной специальной одежды и обуви, с учетом климатических поясов и зон, в России содержит перечень типовых норм выдачи спецодежды по профессиям в приказе 997 Минтруда. Хотя один сотрудник вправе получать каждый год одну норму защиты, предусмотрена возможность выдать ему одновременно двойную норму. То есть вместо двух комплектов костюмов и обуви на год, работник может получить сразу четыре </w:t>
      </w:r>
      <w:r>
        <w:rPr>
          <w:rFonts w:ascii="Times New Roman" w:hAnsi="Times New Roman" w:cs="Times New Roman"/>
          <w:sz w:val="24"/>
          <w:szCs w:val="24"/>
        </w:rPr>
        <w:t>костюма на два года. Считается</w:t>
      </w:r>
      <w:r w:rsidRPr="00F42797">
        <w:rPr>
          <w:rFonts w:ascii="Times New Roman" w:hAnsi="Times New Roman" w:cs="Times New Roman"/>
          <w:sz w:val="24"/>
          <w:szCs w:val="24"/>
        </w:rPr>
        <w:t>, что такой порядок выдачи позволяет работодателю сэкономить деньги, а работнику правильно распределить вещи, что позволит им медленнее изнашиваться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>Для каждой профессии, которой положена одежда от работодателя, а всего их в документе 195, предусмотрены индивидуальные нормы и комплектность. Например, слесарю необходимо выдать на год:</w:t>
      </w:r>
    </w:p>
    <w:p w:rsidR="00F42797" w:rsidRPr="00F42797" w:rsidRDefault="00F42797" w:rsidP="00F4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 xml:space="preserve">сапоги резиновые с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защитным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97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F42797">
        <w:rPr>
          <w:rFonts w:ascii="Times New Roman" w:hAnsi="Times New Roman" w:cs="Times New Roman"/>
          <w:sz w:val="24"/>
          <w:szCs w:val="24"/>
        </w:rPr>
        <w:t xml:space="preserve"> — 1 пара;</w:t>
      </w:r>
    </w:p>
    <w:p w:rsidR="00F42797" w:rsidRPr="00F42797" w:rsidRDefault="00F42797" w:rsidP="00F4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>перчатки с полимерным покрытием — 12 пар;</w:t>
      </w:r>
    </w:p>
    <w:p w:rsidR="00F42797" w:rsidRPr="00F42797" w:rsidRDefault="00F42797" w:rsidP="00F4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>костюм для защиты от общих производственных загрязнений и механических воздействий — 1 шт.;</w:t>
      </w:r>
    </w:p>
    <w:p w:rsidR="00F42797" w:rsidRPr="00F42797" w:rsidRDefault="00F42797" w:rsidP="00F4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>очки защитные — до износа;</w:t>
      </w:r>
    </w:p>
    <w:p w:rsidR="00F42797" w:rsidRPr="00F42797" w:rsidRDefault="00F42797" w:rsidP="00F4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>средство индивидуальной защиты органов дыхания фильтрующее или изолирующее — до износа.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Примечательно, что собственные нормы существуют даже для тех специальностей, работу которых опасной никак не назовешь. Так, библиотекарю положен один костюм для защиты от общих производственных загрязнений и механических воздействий, который работодатель может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заменить на халат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>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Следует помнить, что на все установленные нормы выдачи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 xml:space="preserve"> влияют различные дополнительные факторы. Например, если работники трудятся на открытом воздухе летом или весной, то их обеспечивают защитой от кровососущих насекомых, включая костюмы и репелленты. При работе в зимнее время организация должна обеспечить теплые вещи и обувь, а при работе в условиях повышенного шума — ушные вкладыши. В случае высотных работ необходимы специальные страховочные устройства и каски. Все эти требования смотрите в приложениях к приказу № 997н.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797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 за невыдачу </w:t>
      </w:r>
      <w:proofErr w:type="gramStart"/>
      <w:r w:rsidRPr="00F42797">
        <w:rPr>
          <w:rFonts w:ascii="Times New Roman" w:hAnsi="Times New Roman" w:cs="Times New Roman"/>
          <w:sz w:val="24"/>
          <w:szCs w:val="24"/>
          <w:u w:val="single"/>
        </w:rPr>
        <w:t>СИЗ</w:t>
      </w:r>
      <w:proofErr w:type="gramEnd"/>
      <w:r w:rsidRPr="00F42797">
        <w:rPr>
          <w:rFonts w:ascii="Times New Roman" w:hAnsi="Times New Roman" w:cs="Times New Roman"/>
          <w:sz w:val="24"/>
          <w:szCs w:val="24"/>
          <w:u w:val="single"/>
        </w:rPr>
        <w:t xml:space="preserve"> и спецодежды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 xml:space="preserve">Если руководство организации не обеспечило работника бесплатными средствами защиты, он вправе отказаться от выполнения работы. Кроме того, нормами </w:t>
      </w:r>
      <w:proofErr w:type="spellStart"/>
      <w:r w:rsidRPr="00F4279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42797">
        <w:rPr>
          <w:rFonts w:ascii="Times New Roman" w:hAnsi="Times New Roman" w:cs="Times New Roman"/>
          <w:sz w:val="24"/>
          <w:szCs w:val="24"/>
        </w:rPr>
        <w:t xml:space="preserve"> РФ предусмотрена ответственность за нарушение требований охраны труда в виде штрафа в размере: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>для должностных лиц и ИП — от 20 до 30 тысяч рублей за каждого работника;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797">
        <w:rPr>
          <w:rFonts w:ascii="Times New Roman" w:hAnsi="Times New Roman" w:cs="Times New Roman"/>
          <w:sz w:val="24"/>
          <w:szCs w:val="24"/>
        </w:rPr>
        <w:t xml:space="preserve">для организаций — от 130 до 150 тысяч рублей за каждого сотрудника, не обеспеченного </w:t>
      </w:r>
      <w:proofErr w:type="gramStart"/>
      <w:r w:rsidRPr="00F4279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42797">
        <w:rPr>
          <w:rFonts w:ascii="Times New Roman" w:hAnsi="Times New Roman" w:cs="Times New Roman"/>
          <w:sz w:val="24"/>
          <w:szCs w:val="24"/>
        </w:rPr>
        <w:t>.</w:t>
      </w:r>
    </w:p>
    <w:p w:rsidR="00F42797" w:rsidRPr="00F42797" w:rsidRDefault="00F42797" w:rsidP="00F4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97">
        <w:rPr>
          <w:rFonts w:ascii="Times New Roman" w:hAnsi="Times New Roman" w:cs="Times New Roman"/>
          <w:sz w:val="24"/>
          <w:szCs w:val="24"/>
        </w:rPr>
        <w:t>За повторное нарушение организацию оштрафуют на сумму до 200 тысяч рублей или приостановят ее работу на срок до 90 суток.</w:t>
      </w:r>
    </w:p>
    <w:sectPr w:rsidR="00F42797" w:rsidRPr="00F42797" w:rsidSect="000031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AC0"/>
    <w:multiLevelType w:val="multilevel"/>
    <w:tmpl w:val="2EC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33505"/>
    <w:multiLevelType w:val="multilevel"/>
    <w:tmpl w:val="60A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64423"/>
    <w:multiLevelType w:val="multilevel"/>
    <w:tmpl w:val="6DF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70992"/>
    <w:multiLevelType w:val="multilevel"/>
    <w:tmpl w:val="8AA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96341"/>
    <w:multiLevelType w:val="multilevel"/>
    <w:tmpl w:val="188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C516B"/>
    <w:multiLevelType w:val="multilevel"/>
    <w:tmpl w:val="9A7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263E6"/>
    <w:multiLevelType w:val="multilevel"/>
    <w:tmpl w:val="99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27C6C"/>
    <w:multiLevelType w:val="multilevel"/>
    <w:tmpl w:val="FE4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F481F"/>
    <w:multiLevelType w:val="multilevel"/>
    <w:tmpl w:val="145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940FA"/>
    <w:multiLevelType w:val="multilevel"/>
    <w:tmpl w:val="14C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97"/>
    <w:rsid w:val="000031B2"/>
    <w:rsid w:val="002A26F1"/>
    <w:rsid w:val="006E242C"/>
    <w:rsid w:val="00D54395"/>
    <w:rsid w:val="00F4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797"/>
    <w:rPr>
      <w:b/>
      <w:bCs/>
    </w:rPr>
  </w:style>
  <w:style w:type="character" w:styleId="a5">
    <w:name w:val="Hyperlink"/>
    <w:basedOn w:val="a0"/>
    <w:uiPriority w:val="99"/>
    <w:semiHidden/>
    <w:unhideWhenUsed/>
    <w:rsid w:val="00F427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2020-07-24T06:17:00Z</dcterms:created>
  <dcterms:modified xsi:type="dcterms:W3CDTF">2020-07-31T06:01:00Z</dcterms:modified>
</cp:coreProperties>
</file>