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>
        <w:rPr>
          <w:rFonts w:ascii="RobotoRegular" w:hAnsi="RobotoRegular"/>
          <w:color w:val="333333"/>
          <w:sz w:val="28"/>
          <w:szCs w:val="28"/>
        </w:rPr>
        <w:t>С</w:t>
      </w:r>
      <w:r w:rsidRPr="00A15F6E">
        <w:rPr>
          <w:rFonts w:ascii="RobotoRegular" w:hAnsi="RobotoRegular"/>
          <w:color w:val="333333"/>
          <w:sz w:val="28"/>
          <w:szCs w:val="28"/>
        </w:rPr>
        <w:t>убъектам малого и среднего предпринимательства области (далее – субъекты МСП) оказываются  все виды государственной поддержки, предусмотренные Федеральным законом от 24 июля 2007 года № 209-ФЗ «О развитии малого и среднего предпринимательства в Российской Федерации»: финансовая, имущественная, информационная, образовательная, консультационная и иные виды поддержки.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Министерством экономического развития области ежегодно реализуется комплекс мероприятий, направленных на поддержку зарегистрированных в установленном порядке субъектов МСП – индивидуальных предпринимателей и юридических лиц, предусмотренный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546-П.</w:t>
      </w:r>
      <w:proofErr w:type="gramEnd"/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b/>
          <w:color w:val="333333"/>
          <w:sz w:val="28"/>
          <w:szCs w:val="28"/>
        </w:rPr>
      </w:pPr>
      <w:r w:rsidRPr="00A15F6E">
        <w:rPr>
          <w:rFonts w:ascii="RobotoBold" w:hAnsi="RobotoBold"/>
          <w:b/>
          <w:color w:val="333333"/>
          <w:sz w:val="28"/>
          <w:szCs w:val="28"/>
        </w:rPr>
        <w:t>Финансовая поддержка: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В целях обеспечения доступа к льготному кредитованию субъектов МСП работает НМК «Фонд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микрокредитования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субъектов малого предпринимательства Саратовской области» (далее – Фонд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микрокредитования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). Фонд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микрокредитования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предоставляет займы начинающим и действующим предпринимателям,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самозанятым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гражданам под 2,75 – 5,5%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годовых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, в том числе под поручительство и залог имущества. Размер займа одному заемщику составляет не более 5 млн. рублей. Фонд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микрокредитования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располагается по адресу: 410012, г. Саратов, ул.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Краевая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>, д. 85, тел. (845-2) 75-64-11; 75-64-12, факс 75-64-13, </w:t>
      </w:r>
      <w:hyperlink r:id="rId4" w:history="1">
        <w:r w:rsidRPr="00A15F6E">
          <w:rPr>
            <w:rStyle w:val="a4"/>
            <w:rFonts w:ascii="RobotoRegular" w:hAnsi="RobotoRegular"/>
            <w:color w:val="24A7D5"/>
            <w:sz w:val="28"/>
            <w:szCs w:val="28"/>
            <w:u w:val="none"/>
          </w:rPr>
          <w:t>https://www.fmco.ru/</w:t>
        </w:r>
      </w:hyperlink>
      <w:r w:rsidRPr="00A15F6E">
        <w:rPr>
          <w:rFonts w:ascii="RobotoRegular" w:hAnsi="RobotoRegular"/>
          <w:color w:val="333333"/>
          <w:sz w:val="28"/>
          <w:szCs w:val="28"/>
        </w:rPr>
        <w:t>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В случае недостаточности собственного залогового обеспечения при привлечении заемных средств субъекты малого предпринимательства могут воспользоваться услугами АО «Гарантийный фонд для субъектов малого предпринимательства Саратовской области» (далее – Гарантийный фонд), предоставляющего гарантии по возврату части (до 50%) привлеченных субъектами малого предпринимательства банковских кредитов для реализации проектов. Максимальный размер поручительства Гарантийного фонда – до 25 млн. рублей на одного получателя в зависимости от финансового положения заемщика. Гарантийный фонд располагается по адресу: 410012, г. Саратов, ул.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Краевая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>, д. 85, тел. (845-2) 75-34-15, 75-34-11, </w:t>
      </w:r>
      <w:hyperlink r:id="rId5" w:history="1">
        <w:r w:rsidRPr="00A15F6E">
          <w:rPr>
            <w:rStyle w:val="a4"/>
            <w:rFonts w:ascii="RobotoRegular" w:hAnsi="RobotoRegular"/>
            <w:color w:val="24A7D5"/>
            <w:sz w:val="28"/>
            <w:szCs w:val="28"/>
            <w:u w:val="none"/>
          </w:rPr>
          <w:t>https://saratovgarantfond.ru</w:t>
        </w:r>
      </w:hyperlink>
      <w:r w:rsidRPr="00A15F6E">
        <w:rPr>
          <w:rFonts w:ascii="RobotoRegular" w:hAnsi="RobotoRegular"/>
          <w:color w:val="333333"/>
          <w:sz w:val="28"/>
          <w:szCs w:val="28"/>
        </w:rPr>
        <w:t>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На федеральном уровне АО «Федеральная корпорация по развитию малого и среднего предпринимательства» (далее – Корпорация МСП) и Минэкономразвития России реализуются следующие программы льготного кредитования малого и среднего бизнеса (для юридических лиц и индивидуальных предпринимателей):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- Программа Корпорации МСП: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кредиты предоставляются уполномоченными банками субъектам МСП, в том числе индивидуальным предпринимателям, на реализацию проектов по ставке 8,5% годовых. Размер кредита: от 3 млн. рублей до 1 млрд. рублей (общий кредитный лимит на заемщика - до 4 млрд. </w:t>
      </w:r>
      <w:r w:rsidRPr="00A15F6E">
        <w:rPr>
          <w:rFonts w:ascii="RobotoRegular" w:hAnsi="RobotoRegular"/>
          <w:color w:val="333333"/>
          <w:sz w:val="28"/>
          <w:szCs w:val="28"/>
        </w:rPr>
        <w:lastRenderedPageBreak/>
        <w:t>рублей). Участие в Программе в настоящее время принимают 62 крупнейших российских банка, из них 14 кредитных организаций, действующих на территории области: АО «АЛЬФА-БАНК», Банк ВТБ (ПАО), Банк ГПБ (АО), ПАО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Промсвязьбанк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Райффайзенбанк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ПАО РОСБАНК, 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Россельхозбанк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», ПАО Сбербанк, ПАО Банк «ЗЕНИТ», АО «Банк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Интеза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ПАО «АК БАРС» Банк, ПАО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Совкомбанк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», ПАО Банк «ФК Открытие», ПАО «Банк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Уралсиб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Более подробная информация на сайте Корпорации МСП </w:t>
      </w:r>
      <w:hyperlink r:id="rId6" w:history="1">
        <w:r w:rsidRPr="00A15F6E">
          <w:rPr>
            <w:rStyle w:val="a4"/>
            <w:rFonts w:ascii="RobotoRegular" w:hAnsi="RobotoRegular"/>
            <w:color w:val="24A7D5"/>
            <w:sz w:val="28"/>
            <w:szCs w:val="28"/>
            <w:u w:val="none"/>
          </w:rPr>
          <w:t>https://corpmsp.ru/bankam/programma_stimulir/</w:t>
        </w:r>
      </w:hyperlink>
      <w:r w:rsidRPr="00A15F6E">
        <w:rPr>
          <w:rFonts w:ascii="RobotoRegular" w:hAnsi="RobotoRegular"/>
          <w:color w:val="333333"/>
          <w:sz w:val="28"/>
          <w:szCs w:val="28"/>
        </w:rPr>
        <w:t>;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 - Программа Минэкономразвития России: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постановлением Правительства Российской Федерации от 30 декабря 2018 года №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2019-2024 годах субъектам малого и среднего предпринимательства по льготной ставке.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Кредиты субъектам МСП, осуществляющим приоритетные виды деятельности, предоставляются: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на инвестиционные цели: от 500 тыс. рублей до 200 млн. рублей - для субъектов МСП, относящихся к категории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микропредприятие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до 500 млн. рублей – для субъектов МСП, относящихся к категории «малое предприятие», до 2 млрд. рублей – для субъектов МСП, относящихся к категории «среднее предприятие», на срок до 10 лет (с непрерывным предоставлением субсидии не более 5 лет);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на пополнение оборотных средств: от 500 тыс. до 200 млн. рублей – для субъектов МСП, относящихся к категории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микропредприятие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до 500 млн. рублей – для субъектов МСП, относящихся к категории «малое предприятие», «среднее предприятие», на срок до 1 года; на рефинансирование кредита на инвестиционные цели - процентная ставка до 8,25%; на развитие предпринимательской деятельности - до 10 млн. рублей на срок до 5 лет по ставке 9,95 % годовых.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Участие в Программе принимают 18 уполномоченных банков, действующих на территории Саратовской области: ПАО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Промсвязьбанк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АО «АЛЬФА-БАНК», 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Райффайзенбанк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ПАО РОСБАНК, 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Россельхозбанк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ПАО Сбербанк, ПАО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Совкомбанк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», Банк ВТБ (ПАО), ПАО «АК БАРС» Банк, Банк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Газпромбанк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(АО), АО «Банк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Интеза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ООО «Банк Саратов», АО «СМП Банк», АО «АБ «РОССИЯ», ПАО Банк «ФК Открытие», ПАО «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МТС-Банк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», АО «Банк ДОМ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.Р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>Ф», ПАО Банк «ЗЕНИТ».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b/>
          <w:color w:val="333333"/>
          <w:sz w:val="28"/>
          <w:szCs w:val="28"/>
        </w:rPr>
      </w:pPr>
      <w:r w:rsidRPr="00A15F6E">
        <w:rPr>
          <w:rFonts w:ascii="RobotoBold" w:hAnsi="RobotoBold"/>
          <w:b/>
          <w:color w:val="333333"/>
          <w:sz w:val="28"/>
          <w:szCs w:val="28"/>
        </w:rPr>
        <w:t>Имущественная поддержка оказывается субъектам МСП в виде: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-льготных ставок арендной платы за офисные и производственные помещения. Поддержку субъекты МСП могут получить в ООО «Бизнес-инкубатор Саратовской области» (далее – Областной бизнес-инкубатор) и МАУ «Бизнес-инкубатор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Балаковского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муниципального района». Стать резидентом </w:t>
      </w:r>
      <w:proofErr w:type="spellStart"/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бизнес-инкубатора</w:t>
      </w:r>
      <w:proofErr w:type="spellEnd"/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может субъект малого предпринимательства, действующий менее 3 лет, на конкурсной основе. Максимальный срок предоставления помещений </w:t>
      </w:r>
      <w:proofErr w:type="spellStart"/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бизнес-инкубатора</w:t>
      </w:r>
      <w:proofErr w:type="spellEnd"/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в аренду - 3 года;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lastRenderedPageBreak/>
        <w:t>-льготных ставок арендной платы за пользование имуществом из перечней государственного и муниципального имущества.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Bold" w:hAnsi="RobotoBold"/>
          <w:b/>
          <w:color w:val="333333"/>
          <w:sz w:val="28"/>
          <w:szCs w:val="28"/>
        </w:rPr>
        <w:t>Комплекс образовательной, информационной, консультационной поддержки</w:t>
      </w:r>
      <w:r w:rsidRPr="00A15F6E">
        <w:rPr>
          <w:rFonts w:ascii="RobotoRegular" w:hAnsi="RobotoRegular"/>
          <w:b/>
          <w:color w:val="333333"/>
          <w:sz w:val="28"/>
          <w:szCs w:val="28"/>
        </w:rPr>
        <w:t> </w:t>
      </w:r>
      <w:r w:rsidRPr="00A15F6E">
        <w:rPr>
          <w:rFonts w:ascii="RobotoRegular" w:hAnsi="RobotoRegular"/>
          <w:color w:val="333333"/>
          <w:sz w:val="28"/>
          <w:szCs w:val="28"/>
        </w:rPr>
        <w:t xml:space="preserve">на безвозмездной и льготной основе оказывает Центр предпринимателя «Мой бизнес» (далее – ЦП «Мой бизнес»).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 xml:space="preserve">На площадке ЦП «Мой бизнес» сегодня находятся: имущественный комплекс Областного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бизнес-инкубатора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, Центр поддержки предпринимательства (далее – ЦПП) и Региональный центр инжиниринга (далее – РЦИ) как структурные подразделения Областного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бизнес-инкубатора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, Гарантийный фонд, Фонд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микрокредитования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, НО «Фонд содействия развитию венчурных инвестиций в малые предприятия в научно-технической сфере Саратовской области» (далее – Венчурный фонд), 5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бизнес-окон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ГАУ СО «МФЦ».</w:t>
      </w:r>
      <w:proofErr w:type="gramEnd"/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ЦПП оказывает комплекс информационно-консультационных, образовательных услуг субъектам малого и среднего предпринимательства и физическим лицам, заинтересованным в начале осуществления предпринимательской деятельности, в том числе по вопросам начала ведения собственного дела, финансового планирования, маркетингового сопровождения деятельности и </w:t>
      </w:r>
      <w:proofErr w:type="spellStart"/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бизнес-планирования</w:t>
      </w:r>
      <w:proofErr w:type="spellEnd"/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,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патентнолицензионного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сопровождения и другие услуги.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РЦИ оказывает услуги по разработке технической, проектной или конструкторской документации для производства новой или модернизированной продукции, проведению технологического аудита и разработке программы модернизации производства, подготовке технико-экономического обоснования проекта и бизнес-плана для привлечения заемного и инвестиционного финансирования, оказанию содействия в получении разрешительной документации (сертификация, декларирование, аттестация, иные услуги), проведению маркетинговых исследований, разработке фирменного стиля и другие услуги.</w:t>
      </w:r>
      <w:proofErr w:type="gramEnd"/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ЦП «Мой бизнес» располагается по адресу: 410012, г. Саратов, ул.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Краевая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>, д. 85, тел. (845-2) 24-54-78, </w:t>
      </w:r>
      <w:hyperlink r:id="rId7" w:history="1">
        <w:r w:rsidRPr="00A15F6E">
          <w:rPr>
            <w:rStyle w:val="a4"/>
            <w:rFonts w:ascii="RobotoRegular" w:hAnsi="RobotoRegular"/>
            <w:color w:val="24A7D5"/>
            <w:sz w:val="28"/>
            <w:szCs w:val="28"/>
            <w:u w:val="none"/>
          </w:rPr>
          <w:t>http://www.saratov-bis.ru</w:t>
        </w:r>
      </w:hyperlink>
      <w:r w:rsidRPr="00A15F6E">
        <w:rPr>
          <w:rFonts w:ascii="RobotoRegular" w:hAnsi="RobotoRegular"/>
          <w:color w:val="333333"/>
          <w:sz w:val="28"/>
          <w:szCs w:val="28"/>
        </w:rPr>
        <w:t>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Для привлечения федерального финансирования специалисты Венчурного фонда оказывают консультирование, помощь в «упаковке» проектов и (или) подготовке заявок малых инновационных компаний по программам ФГБУ «Фонд содействия развитию малых форм предприятий в научно-технической сфере» (далее – ФСИ).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В 2018 году Венчурный фонд получил статус аккредитованной компании, реализующей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преакселерационную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программу для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грантополучателей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программы «УМНИК» ФСИ.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Преакселерационная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 xml:space="preserve"> программа Венчурного фонда направлена на комплексную поддержку и сопровождение молодых ученых и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инноваторов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. Основная задача – оказание консультационных услуг, связанных с проработкой перспектив коммерческого использования результатов научно-исследовательских работ, выполняемых в рамках программы «УМНИК».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Венчурный фонд располагается по адресу: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г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. Саратов, ул. Краевая, д. 85, офис 304, тел. (845-2) 75-64-03, </w:t>
      </w:r>
      <w:proofErr w:type="spellStart"/>
      <w:r w:rsidRPr="00A15F6E">
        <w:rPr>
          <w:rFonts w:ascii="RobotoRegular" w:hAnsi="RobotoRegular"/>
          <w:color w:val="333333"/>
          <w:sz w:val="28"/>
          <w:szCs w:val="28"/>
        </w:rPr>
        <w:t>эл</w:t>
      </w:r>
      <w:proofErr w:type="spellEnd"/>
      <w:r w:rsidRPr="00A15F6E">
        <w:rPr>
          <w:rFonts w:ascii="RobotoRegular" w:hAnsi="RobotoRegular"/>
          <w:color w:val="333333"/>
          <w:sz w:val="28"/>
          <w:szCs w:val="28"/>
        </w:rPr>
        <w:t>. почта: </w:t>
      </w:r>
      <w:hyperlink r:id="rId8" w:history="1">
        <w:r w:rsidRPr="00A15F6E">
          <w:rPr>
            <w:rStyle w:val="a4"/>
            <w:rFonts w:ascii="RobotoRegular" w:hAnsi="RobotoRegular"/>
            <w:color w:val="24A7D5"/>
            <w:sz w:val="28"/>
            <w:szCs w:val="28"/>
            <w:u w:val="none"/>
          </w:rPr>
          <w:t>info@fsimp.ru</w:t>
        </w:r>
      </w:hyperlink>
      <w:r w:rsidRPr="00A15F6E">
        <w:rPr>
          <w:rFonts w:ascii="RobotoRegular" w:hAnsi="RobotoRegular"/>
          <w:color w:val="333333"/>
          <w:sz w:val="28"/>
          <w:szCs w:val="28"/>
        </w:rPr>
        <w:t>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lastRenderedPageBreak/>
        <w:t>С 2016 года в целях сохранения и развития на территории региона традиционных народных художественных промыслов (керамика, резьба и роспись по дереву), объединения предпринимателей-ремесленников в единое сообщество действует АНО «Палата ремесел Саратовской области» (далее – Палата ремесел). Палата ремесел организует участие саратовских ремесленников на крупных российских и международных выставочных площадках, проводит консультации и реализует программы обучения.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 xml:space="preserve">Также на территории области действует АНО «Центр поддержки экспорта Саратовской области» (далее – ЦПЭ),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представляющая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«единое окно» для работы с экспортерами в области финансовых и нефинансовых мер поддержки. ЦПЭ обеспечивает проведение экспертизы внешнеэкономических проектов и сделок, проведение маркетинговых и патентных исследований иностранных рынков, организацию и проведение межрегиональных и международных </w:t>
      </w:r>
      <w:proofErr w:type="spellStart"/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бизнес-миссий</w:t>
      </w:r>
      <w:proofErr w:type="spellEnd"/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>, обучение по тематике внешнеэкономической деятельности.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r w:rsidRPr="00A15F6E">
        <w:rPr>
          <w:rFonts w:ascii="RobotoRegular" w:hAnsi="RobotoRegular"/>
          <w:color w:val="333333"/>
          <w:sz w:val="28"/>
          <w:szCs w:val="28"/>
        </w:rPr>
        <w:t>Региональными законодательными актами предусмотрены следующие </w:t>
      </w:r>
      <w:r w:rsidRPr="00A15F6E">
        <w:rPr>
          <w:rFonts w:ascii="RobotoBold" w:hAnsi="RobotoBold"/>
          <w:b/>
          <w:color w:val="333333"/>
          <w:sz w:val="28"/>
          <w:szCs w:val="28"/>
        </w:rPr>
        <w:t>налоговые преференции в сфере развития малого предпринимательства области</w:t>
      </w:r>
      <w:r w:rsidRPr="00A15F6E">
        <w:rPr>
          <w:rFonts w:ascii="RobotoBold" w:hAnsi="RobotoBold"/>
          <w:color w:val="333333"/>
          <w:sz w:val="28"/>
          <w:szCs w:val="28"/>
        </w:rPr>
        <w:t>: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двухлетние «налоговые каникулы» по упрощенной и патентной системам налогообложения для впервые зарегистрированных индивидуальных предпринимателей, осуществляющих деятельность в производственной, научной и социальной сферах, сфере бытовых услуг населению, услуг по предоставлению мест для временного проживания (Закон Саратовской области от 28 апреля 2015 года № 57-ЗСО «Об установлении налоговой ставки в размере 0 процентов для отдельных категорий налогоплательщиков при применении упрощенной и (или) патентной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систем (системы) налогообложения на территории Саратовской области»).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«Нулевая ставка» установлена по 101 виду деятельности патентной и упрощенной систем налогообложения и действует до 31 декабря 2023 года; патентная система налогообложения по 98 видам предпринимательской деятельности (Закон Саратовской области от 13 ноября 2012 года № 167-ЗСО «О введении на территории Саратовской области патентной системы налогообложения»).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Цена на патенты для предпринимателей дифференцирована по пяти группам муниципальных образований области;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пониженные налоговые ставки по упрощенной системе налогообложения для 12 видов экономической деятельности, в том числе в сфере автоперевозок, общественного питания, гостиничного бизнеса, туризма, культуры, досуга и спорта, а также для резидентов территории опережающего социально-экономического развития и особой экономической зоны - 2% вместо 6% с базой «доходы» и 7,5% вместо 15% с базой «доходы минус расходы» (Закон Саратовской области от 25 ноября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</w:t>
      </w: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2015 года 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области»);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</w:t>
      </w:r>
      <w:r w:rsidRPr="00A15F6E">
        <w:rPr>
          <w:rFonts w:ascii="RobotoRegular" w:hAnsi="RobotoRegular"/>
          <w:color w:val="333333"/>
          <w:sz w:val="28"/>
          <w:szCs w:val="28"/>
        </w:rPr>
        <w:lastRenderedPageBreak/>
        <w:t>освобождение от уплаты налога на имущество организаций для 12 видов экономической деятельности, в том числе в сфере автоперевозок, общественного питания, гостиничного бизнеса, туризма, культуры, досуга и спорта (Закон Саратовской области от 24 ноября 2003 года № 73-3CO «О введении на территории Саратовской области налога на имущество организаций»);</w:t>
      </w:r>
    </w:p>
    <w:p w:rsidR="00A15F6E" w:rsidRPr="00A15F6E" w:rsidRDefault="00A15F6E" w:rsidP="00A15F6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Regular" w:hAnsi="RobotoRegular"/>
          <w:color w:val="333333"/>
          <w:sz w:val="28"/>
          <w:szCs w:val="28"/>
        </w:rPr>
      </w:pPr>
      <w:proofErr w:type="gramStart"/>
      <w:r w:rsidRPr="00A15F6E">
        <w:rPr>
          <w:rFonts w:ascii="RobotoRegular" w:hAnsi="RobotoRegular"/>
          <w:color w:val="333333"/>
          <w:sz w:val="28"/>
          <w:szCs w:val="28"/>
        </w:rPr>
        <w:t>с 1 июля 2020 года применение физическими лицами и индивидуальными предпринимателями специального налогового режима «Налог на профессиональный доход» (далее – НПД) - размер налоговой ставки 4% при работе с физическими лицами и 6% - с индивидуальными предпринимателями и юридическими лицами (Закон Саратовской области от 29 мая 2020 года № 51-ЗСО «О введении в действие на территории Саратовской области специального налогового режима «Налог на профессиональный</w:t>
      </w:r>
      <w:proofErr w:type="gramEnd"/>
      <w:r w:rsidRPr="00A15F6E">
        <w:rPr>
          <w:rFonts w:ascii="RobotoRegular" w:hAnsi="RobotoRegular"/>
          <w:color w:val="333333"/>
          <w:sz w:val="28"/>
          <w:szCs w:val="28"/>
        </w:rPr>
        <w:t xml:space="preserve"> доход»). При применении НПД налогоплательщики освобождаются от обязанности представлять отчетность, применять контрольно-кассовую технику, регистрироваться в качестве индивидуального предпринимателя и уплачивать страховые взносы.</w:t>
      </w:r>
    </w:p>
    <w:p w:rsidR="00FD3F2D" w:rsidRPr="00A15F6E" w:rsidRDefault="00FD3F2D" w:rsidP="00A15F6E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FD3F2D" w:rsidRPr="00A15F6E" w:rsidSect="00FD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F6E"/>
    <w:rsid w:val="00013A35"/>
    <w:rsid w:val="000306AB"/>
    <w:rsid w:val="00042CCF"/>
    <w:rsid w:val="00067810"/>
    <w:rsid w:val="00073AD5"/>
    <w:rsid w:val="000C2960"/>
    <w:rsid w:val="00110C93"/>
    <w:rsid w:val="00117CA6"/>
    <w:rsid w:val="00127792"/>
    <w:rsid w:val="00131457"/>
    <w:rsid w:val="00132377"/>
    <w:rsid w:val="001642E4"/>
    <w:rsid w:val="0016725C"/>
    <w:rsid w:val="00181770"/>
    <w:rsid w:val="001902F4"/>
    <w:rsid w:val="001A3045"/>
    <w:rsid w:val="001B6D18"/>
    <w:rsid w:val="001B7A6A"/>
    <w:rsid w:val="001E1A79"/>
    <w:rsid w:val="001E4F16"/>
    <w:rsid w:val="001F4749"/>
    <w:rsid w:val="0021438C"/>
    <w:rsid w:val="002454B1"/>
    <w:rsid w:val="00246DBC"/>
    <w:rsid w:val="002533A9"/>
    <w:rsid w:val="002571D5"/>
    <w:rsid w:val="002646C5"/>
    <w:rsid w:val="00277D2C"/>
    <w:rsid w:val="002B6A27"/>
    <w:rsid w:val="002C6DCB"/>
    <w:rsid w:val="002D7F13"/>
    <w:rsid w:val="003373E1"/>
    <w:rsid w:val="003405AB"/>
    <w:rsid w:val="00345D4F"/>
    <w:rsid w:val="00362A08"/>
    <w:rsid w:val="00383FE3"/>
    <w:rsid w:val="003A57C5"/>
    <w:rsid w:val="003E0716"/>
    <w:rsid w:val="00412FBE"/>
    <w:rsid w:val="004345F5"/>
    <w:rsid w:val="00461120"/>
    <w:rsid w:val="00483143"/>
    <w:rsid w:val="004C5C6B"/>
    <w:rsid w:val="004F1FA9"/>
    <w:rsid w:val="004F1FD1"/>
    <w:rsid w:val="0051251E"/>
    <w:rsid w:val="005569B8"/>
    <w:rsid w:val="00562135"/>
    <w:rsid w:val="005741E5"/>
    <w:rsid w:val="00575492"/>
    <w:rsid w:val="00580B07"/>
    <w:rsid w:val="005C6B8C"/>
    <w:rsid w:val="005E2199"/>
    <w:rsid w:val="005F62A7"/>
    <w:rsid w:val="00604D98"/>
    <w:rsid w:val="006067F9"/>
    <w:rsid w:val="006212A4"/>
    <w:rsid w:val="00624F35"/>
    <w:rsid w:val="00657CD0"/>
    <w:rsid w:val="00662E23"/>
    <w:rsid w:val="00670A67"/>
    <w:rsid w:val="00672E63"/>
    <w:rsid w:val="006F1B56"/>
    <w:rsid w:val="00704E4B"/>
    <w:rsid w:val="0073481C"/>
    <w:rsid w:val="00736D34"/>
    <w:rsid w:val="00747364"/>
    <w:rsid w:val="007503F3"/>
    <w:rsid w:val="00752000"/>
    <w:rsid w:val="00783592"/>
    <w:rsid w:val="00792C70"/>
    <w:rsid w:val="007A1D3E"/>
    <w:rsid w:val="007A6B20"/>
    <w:rsid w:val="007A70EF"/>
    <w:rsid w:val="007B42D3"/>
    <w:rsid w:val="007B59A4"/>
    <w:rsid w:val="008102C5"/>
    <w:rsid w:val="008248F2"/>
    <w:rsid w:val="00826465"/>
    <w:rsid w:val="0088124B"/>
    <w:rsid w:val="00891661"/>
    <w:rsid w:val="008F199E"/>
    <w:rsid w:val="008F7B39"/>
    <w:rsid w:val="008F7F56"/>
    <w:rsid w:val="009200AF"/>
    <w:rsid w:val="00922BCE"/>
    <w:rsid w:val="00936ABC"/>
    <w:rsid w:val="009662E2"/>
    <w:rsid w:val="0097425E"/>
    <w:rsid w:val="00993F72"/>
    <w:rsid w:val="00997AAA"/>
    <w:rsid w:val="009A23B5"/>
    <w:rsid w:val="009B45E4"/>
    <w:rsid w:val="009E1FAE"/>
    <w:rsid w:val="009E58BE"/>
    <w:rsid w:val="009F7E09"/>
    <w:rsid w:val="00A15F6E"/>
    <w:rsid w:val="00A22560"/>
    <w:rsid w:val="00A816E3"/>
    <w:rsid w:val="00A824F1"/>
    <w:rsid w:val="00AB2D24"/>
    <w:rsid w:val="00AD69A9"/>
    <w:rsid w:val="00B03C54"/>
    <w:rsid w:val="00B139C7"/>
    <w:rsid w:val="00B46C24"/>
    <w:rsid w:val="00B517F3"/>
    <w:rsid w:val="00B719D4"/>
    <w:rsid w:val="00B76EFD"/>
    <w:rsid w:val="00B9007A"/>
    <w:rsid w:val="00BA5AA4"/>
    <w:rsid w:val="00BE6958"/>
    <w:rsid w:val="00BE70AC"/>
    <w:rsid w:val="00C052C6"/>
    <w:rsid w:val="00C172CC"/>
    <w:rsid w:val="00C25CEC"/>
    <w:rsid w:val="00C32956"/>
    <w:rsid w:val="00C528E3"/>
    <w:rsid w:val="00C7009A"/>
    <w:rsid w:val="00C77EC7"/>
    <w:rsid w:val="00C80C34"/>
    <w:rsid w:val="00C80CF2"/>
    <w:rsid w:val="00CA63E8"/>
    <w:rsid w:val="00CD49F3"/>
    <w:rsid w:val="00CF2A3B"/>
    <w:rsid w:val="00D02779"/>
    <w:rsid w:val="00D04B1F"/>
    <w:rsid w:val="00D15AF2"/>
    <w:rsid w:val="00D16F2C"/>
    <w:rsid w:val="00D45E75"/>
    <w:rsid w:val="00D757DB"/>
    <w:rsid w:val="00D85997"/>
    <w:rsid w:val="00D9219B"/>
    <w:rsid w:val="00DA2568"/>
    <w:rsid w:val="00DD2AC3"/>
    <w:rsid w:val="00E0275D"/>
    <w:rsid w:val="00E04374"/>
    <w:rsid w:val="00E24166"/>
    <w:rsid w:val="00E40D1D"/>
    <w:rsid w:val="00E47E6E"/>
    <w:rsid w:val="00E619B1"/>
    <w:rsid w:val="00E70113"/>
    <w:rsid w:val="00E72FA1"/>
    <w:rsid w:val="00EA788F"/>
    <w:rsid w:val="00F02B17"/>
    <w:rsid w:val="00F25407"/>
    <w:rsid w:val="00F276FB"/>
    <w:rsid w:val="00F46E54"/>
    <w:rsid w:val="00F816B6"/>
    <w:rsid w:val="00F97425"/>
    <w:rsid w:val="00FB6182"/>
    <w:rsid w:val="00FB7717"/>
    <w:rsid w:val="00FC48E3"/>
    <w:rsid w:val="00FD1F75"/>
    <w:rsid w:val="00FD3F2D"/>
    <w:rsid w:val="00FD59E3"/>
    <w:rsid w:val="00FE3BDD"/>
    <w:rsid w:val="00F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5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sim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ratov-bi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bankam/programma_stimulir/" TargetMode="External"/><Relationship Id="rId5" Type="http://schemas.openxmlformats.org/officeDocument/2006/relationships/hyperlink" Target="https://saratovgarantfon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mc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1839</Words>
  <Characters>10483</Characters>
  <Application>Microsoft Office Word</Application>
  <DocSecurity>0</DocSecurity>
  <Lines>87</Lines>
  <Paragraphs>24</Paragraphs>
  <ScaleCrop>false</ScaleCrop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2022-03-16T03:24:00Z</dcterms:created>
  <dcterms:modified xsi:type="dcterms:W3CDTF">2022-03-16T03:27:00Z</dcterms:modified>
</cp:coreProperties>
</file>