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D" w:rsidRDefault="00D2016D" w:rsidP="00D201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828166"/>
            <wp:effectExtent l="19050" t="0" r="3175" b="0"/>
            <wp:docPr id="34" name="Рисунок 34" descr="C:\Users\User.User-ПК\Desktop\Куприсова\статьи для совещаний\картинки для презентаций\новое в закондательств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.User-ПК\Desktop\Куприсова\статьи для совещаний\картинки для презентаций\новое в закондательств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5C" w:rsidRPr="00D2016D" w:rsidRDefault="00D2016D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016D">
        <w:rPr>
          <w:rFonts w:ascii="Times New Roman" w:hAnsi="Times New Roman" w:cs="Times New Roman"/>
          <w:b/>
          <w:sz w:val="32"/>
          <w:szCs w:val="32"/>
        </w:rPr>
        <w:t>Новые изменения</w:t>
      </w:r>
      <w:r w:rsidR="00D11C36">
        <w:rPr>
          <w:rFonts w:ascii="Times New Roman" w:hAnsi="Times New Roman" w:cs="Times New Roman"/>
          <w:b/>
          <w:sz w:val="32"/>
          <w:szCs w:val="32"/>
        </w:rPr>
        <w:t xml:space="preserve"> в Пожарной безопасности вступили</w:t>
      </w:r>
      <w:r w:rsidRPr="00D2016D">
        <w:rPr>
          <w:rFonts w:ascii="Times New Roman" w:hAnsi="Times New Roman" w:cs="Times New Roman"/>
          <w:b/>
          <w:sz w:val="32"/>
          <w:szCs w:val="32"/>
        </w:rPr>
        <w:t xml:space="preserve"> в силу с 1 января 2021 года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</w:rPr>
        <w:t>В сентябре 2020 года постановление Правительства утвердило изданные в июле новые Правила противопожарной безопасности № 1479. Они начинают действовать на территории РФ с</w:t>
      </w:r>
      <w:r w:rsidR="00D2016D">
        <w:rPr>
          <w:rFonts w:ascii="Times New Roman" w:hAnsi="Times New Roman" w:cs="Times New Roman"/>
          <w:sz w:val="24"/>
          <w:szCs w:val="24"/>
        </w:rPr>
        <w:t xml:space="preserve"> 1</w:t>
      </w:r>
      <w:r w:rsidRPr="00600D11">
        <w:rPr>
          <w:rFonts w:ascii="Times New Roman" w:hAnsi="Times New Roman" w:cs="Times New Roman"/>
          <w:sz w:val="24"/>
          <w:szCs w:val="24"/>
        </w:rPr>
        <w:t xml:space="preserve"> января 2021 года. Новый документ заменит действовавшее ранее постановление Правительства № 390, утвержденное 25 апреля 2012 года.</w:t>
      </w:r>
      <w:r w:rsidR="00600D11" w:rsidRPr="00600D11">
        <w:rPr>
          <w:rFonts w:ascii="Times New Roman" w:hAnsi="Times New Roman" w:cs="Times New Roman"/>
          <w:sz w:val="24"/>
          <w:szCs w:val="24"/>
        </w:rPr>
        <w:t xml:space="preserve"> Документом, как и ранее, устанавливаются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</w:t>
      </w:r>
    </w:p>
    <w:p w:rsidR="00D95D99" w:rsidRPr="00600D11" w:rsidRDefault="00600D11" w:rsidP="00600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95D99"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Добавлена необходимость хранения инструкции о мерах пожарной безопасности именно на объекте защиты (п.2). </w:t>
      </w:r>
    </w:p>
    <w:p w:rsidR="00D95D99" w:rsidRPr="00600D11" w:rsidRDefault="00D95D99" w:rsidP="00600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2. Противопожарный инструктаж работников организаций осуществляется уполномоченным должностным лицом, ответственным за пожарную безопасность (и прошедшим ПТМ). Указанное лицо проходит процедуру независимой оценки квалификации с получением свидетельства о квалификации. Ответственные за ПБ должны уметь пользоваться приемно-контрольными приборами систем противопожарной защиты на объекте (п.3, п.4).</w:t>
      </w:r>
    </w:p>
    <w:p w:rsidR="00D95D99" w:rsidRPr="00600D11" w:rsidRDefault="00D95D99" w:rsidP="00600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Планы эвакуации выполняются в соответствии нормативными документами по пожарной безопасности. На них обозначаются места хранения первичных средств пожаротушения, ручных пожарных 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извещателей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СИЗОД, эвакуационные выходы и направление эвакуации людей (п.6). </w:t>
      </w:r>
    </w:p>
    <w:p w:rsidR="00D95D99" w:rsidRPr="00600D11" w:rsidRDefault="00D95D99" w:rsidP="00600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Информация о количестве людей в ночное время передаётся в ПЧ с объектов: социального обслуживания населения, здравоохранения, образования, культуры, гостиниц и 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хостелов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(п.9). </w:t>
      </w:r>
    </w:p>
    <w:p w:rsidR="00D95D99" w:rsidRPr="00600D11" w:rsidRDefault="00D95D99" w:rsidP="00600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Удалена необходимость разработки отдельной инструкции о действиях персонала по эвакуации людей при пожаре. Периодичность учебных тренировок по эвакуации сохранена (п.12). </w:t>
      </w:r>
    </w:p>
    <w:p w:rsidR="00D95D99" w:rsidRPr="00600D11" w:rsidRDefault="00D95D99" w:rsidP="00600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Добавлен запрет использования подвальных и цокольных этажей для организации предприятий детского досуга (п.11). </w:t>
      </w:r>
    </w:p>
    <w:p w:rsidR="00D95D99" w:rsidRPr="00600D11" w:rsidRDefault="00D95D99" w:rsidP="00600D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7. Руководитель организации обеспечивает категорирование по взрывопожарной и пожарной опасности и определение класса зон по 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ТРоТПБ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Необходимость размещения соответствующих табличек на дверях больше не упоминается (п.20).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Не установлено никаких сроков проверки состояния конструкций, подвергнутых огнезащите (только по проекту и ТД производителя огнезащиты). Проверка огнезащитной эффективности подтверждается заключением аккредитованной организации (п.21).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Возвращён запрет на установку глухих решёток на окнах и приямках у окон подвалов, являющихся аварийными выходами (п.23 «г»).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К пункту о проведении эксплуатационных испытаний наружных пожарных лестниц (1 раз в 5 лет) добавлена необходимость проверки лестниц 3-го типа (п.24).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Возвращено требование о необходимости закрытия на замок чердаков, подвалов, 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техэтажей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вывешиванием таблички о месте хранения ключей (п.25).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Уточнено, что мероприятие с массовым пребыванием людей – участие 50 и более человек (п.28).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13. Уточнено, что на объектах с массовым пребыванием людей при отсутствии информации по максимальному допустимому количеству людей в помещении следует принимать их количество по расчетной площади, приходящейся на одного человека – не менее 1 м</w:t>
      </w:r>
      <w:proofErr w:type="gram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(п.23 «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Добавлена прямая отсылка к ч.4 ст.4 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ТРоТПБ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эксплуатации эвакуационных путей и выходов (п.30).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proofErr w:type="gram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двери эвакуационных выходов оборудуются доводчиками и уплотнениями (кроме дверей, ведущих в квартиры, коридор, вестибюль и непосредственно наружу (п.30). </w:t>
      </w:r>
      <w:proofErr w:type="gramEnd"/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На объекте защиты должна храниться документация, подтверждающая пределы огнестойкости, класс пожарной безопасности и показатели пожарной опасности для отделки фактически примененных строительных конструкций, заполнений проемов в них (п.31).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В учреждениях социального обеспечения (в том числе школы-интернаты, дома для престарелых и инвалидов, детские дома) дежурный должен постоянно иметь при себе комплект ключей от всех замков на дверях эвакуационных выходов (п.32).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18. Запрещается прокладывать электрическую проводку по горючему основанию (п.41 «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»). </w:t>
      </w:r>
    </w:p>
    <w:p w:rsidR="00D95D99" w:rsidRPr="00600D11" w:rsidRDefault="00600D11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95D99"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Направление движения к источникам противопожарного водоснабжения должно обозначаться указателями со светоотражающей поверхностью либо световыми указателями, подключенными к сети электроснабжения и включенными постоянно или в ночное время (последний абзац п.53).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В Правила возвращено требование о негорючих пожарных шкафах (п.55);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Руководитель организации утверждает график проведения проверок систем противопожарной защиты и (!) регламент проведения ТО данных систем. Проверка АУПС и СОУЭ – 1 раз в квартал; АУПТ, 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дымоудаление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 раз в 6 месяцев (п.59).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На объекте должны храниться разделы проекта по смонтированным системам противопожарной защиты и их техдокументация (абзац 3 п.59).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Требуемая ширина минерализованной полосы для территорий, прилегающих к лесу, увеличена с 0,5 до 1,4 м. Выполнение таких мероприятий теперь необходимо и для территорий, примыкающих к землям сельскохозяйственного назначения, а также в степной зоне (п.68).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24. Установлены требования к шлагбаумам в местах проездов пожарной техники (абзац 4 п.71).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 Гражданам запрещается воспрепятствовать работе подразделений пожарной охраны, в том числе в пути следования подразделений пожарной охраны к месту пожара (последний абзац п.71).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 Установлены минимально допустимые расстояния между кроватями в больничных палатах – не менее 0,8 м, а центральный основной проход – не менее 1,2 м (п.117).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27. Уточнено, что пожарными щитами оборудуются производственные и складские здания, не оборудованные внутренним противопожарным водопроводом ИЛИ автоматическими установками пожаротушения, за 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искл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зданий, для которых ВПВ или АУПТ не требуется нормами (п.409). </w:t>
      </w:r>
    </w:p>
    <w:p w:rsidR="00D95D99" w:rsidRPr="00600D11" w:rsidRDefault="00D95D99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28. Добавлены разделы: – XXII «Детские лагеря палаточного типа»; – XXIII «Применение и реализация пиротехнических изделий»; – XXIV «Применение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людей»; – приложение 9 «Использования открытого огня и разведения костров на землях сельскохозяйственного назначения, землях запаса и землях населенных пунктов».</w:t>
      </w:r>
    </w:p>
    <w:p w:rsidR="00600D11" w:rsidRPr="00600D11" w:rsidRDefault="00600D11" w:rsidP="00600D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организаций также должны ознакомиться с изменениями, которые содержатся в новом Постановлении. Так, согласно новым правилам, они должны обеспечить наличие, исправную работу механизмов для самостоятельного закрывания противопожарных, </w:t>
      </w:r>
      <w:proofErr w:type="spellStart"/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газодымонепроницаемых</w:t>
      </w:r>
      <w:proofErr w:type="spellEnd"/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дверей, дверных ручек, замков, уплотнений, систем «</w:t>
      </w:r>
      <w:proofErr w:type="spellStart"/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предусмотренных производителем. Запрещено монтировать какие-либо приспособления, которые будут создавать помехи для нормального функционирования противопожарных, </w:t>
      </w:r>
      <w:proofErr w:type="spellStart"/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дверей.</w:t>
      </w:r>
    </w:p>
    <w:p w:rsidR="00600D11" w:rsidRPr="00600D11" w:rsidRDefault="00600D11" w:rsidP="00600D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медицинского профиля должны обеспечить в зданиях и сооружениях, где пребывают пациенты, ограниченные в возможностях самостоятельного передвижения, носилки в расчёте: одни носилки на пять человек, а также СИЗ для органов дыхания и зрения, количество которых должно соответствовать числу сотрудников смены. Согласно новым требованиям, расстояние между койками в больничных палатах должно быть не менее 0,8 м, а центральный проход — шириной не менее 1,2 м. При этом запрещается группировать более двух кроватей.</w:t>
      </w:r>
    </w:p>
    <w:p w:rsidR="00600D11" w:rsidRPr="00600D11" w:rsidRDefault="00600D11" w:rsidP="00600D1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00D11">
        <w:t>Большие перемены ожидаются и в организации практических тренировок на объектах с массовым нахождением персонала или посетителей. Если ранее к правильному поведению во время пожара готовились только сотрудники подобных организаций, то теперь их руководители должны как минимум один раз в 6 месяцев провести практические тренировки по эвакуации работников, а также покупателей, посетителей и других лиц, пребывающих на территории объекта.</w:t>
      </w:r>
    </w:p>
    <w:p w:rsidR="00D95D99" w:rsidRPr="00600D11" w:rsidRDefault="00600D11" w:rsidP="00600D1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00D11">
        <w:t>Руководители образовательных организаций обязаны провести накануне начала учебного года занятия с обучающимися по вопросам изучения требований по пожарной безопасности, включая умения пользоваться средствами индивидуальной защиты зрения и органов дыхания от опасных факторов возгорания и первичными средствами тушения пожаров</w:t>
      </w:r>
      <w:proofErr w:type="gramEnd"/>
    </w:p>
    <w:p w:rsidR="00D95D99" w:rsidRPr="00600D11" w:rsidRDefault="00600D11" w:rsidP="0060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2020 </w:t>
      </w:r>
      <w:r w:rsidR="00D2016D">
        <w:rPr>
          <w:rFonts w:ascii="Times New Roman" w:hAnsi="Times New Roman" w:cs="Times New Roman"/>
          <w:sz w:val="24"/>
          <w:szCs w:val="24"/>
          <w:shd w:val="clear" w:color="auto" w:fill="FFFFFF"/>
        </w:rPr>
        <w:t>году уже вступили в</w:t>
      </w: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силу нескольк</w:t>
      </w:r>
      <w:r w:rsidR="00D2016D">
        <w:rPr>
          <w:rFonts w:ascii="Times New Roman" w:hAnsi="Times New Roman" w:cs="Times New Roman"/>
          <w:sz w:val="24"/>
          <w:szCs w:val="24"/>
          <w:shd w:val="clear" w:color="auto" w:fill="FFFFFF"/>
        </w:rPr>
        <w:t>о сводов правил, которые изменили</w:t>
      </w:r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нормативные требования. Среди них правила, касающиеся проектирования, реконструкции и капремонта многофункциональных зданий, а также свод «Системы противопожарной защиты. Эвакуационные пути и выходы», </w:t>
      </w:r>
      <w:proofErr w:type="gram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закрепляющий</w:t>
      </w:r>
      <w:proofErr w:type="gram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формулировки определений (</w:t>
      </w:r>
      <w:proofErr w:type="spellStart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пожаробезопасная</w:t>
      </w:r>
      <w:proofErr w:type="spellEnd"/>
      <w:r w:rsidRPr="00600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зона, помещение с постоянным нахождением людей и другие), ранее вызывавшие двойные толкования.</w:t>
      </w:r>
    </w:p>
    <w:sectPr w:rsidR="00D95D99" w:rsidRPr="00600D11" w:rsidSect="00D201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1C4"/>
    <w:multiLevelType w:val="multilevel"/>
    <w:tmpl w:val="B266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E5CB1"/>
    <w:multiLevelType w:val="hybridMultilevel"/>
    <w:tmpl w:val="C326368C"/>
    <w:lvl w:ilvl="0" w:tplc="E586D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99"/>
    <w:rsid w:val="002A145C"/>
    <w:rsid w:val="00600D11"/>
    <w:rsid w:val="00D11C36"/>
    <w:rsid w:val="00D2016D"/>
    <w:rsid w:val="00D95D99"/>
    <w:rsid w:val="00FB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5C"/>
  </w:style>
  <w:style w:type="paragraph" w:styleId="2">
    <w:name w:val="heading 2"/>
    <w:basedOn w:val="a"/>
    <w:link w:val="20"/>
    <w:uiPriority w:val="9"/>
    <w:qFormat/>
    <w:rsid w:val="00600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5D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0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00D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7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94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9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4429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24" w:space="15" w:color="353535"/>
                <w:bottom w:val="none" w:sz="0" w:space="0" w:color="auto"/>
                <w:right w:val="none" w:sz="0" w:space="0" w:color="auto"/>
              </w:divBdr>
            </w:div>
            <w:div w:id="688022917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24" w:space="15" w:color="353535"/>
                <w:bottom w:val="none" w:sz="0" w:space="0" w:color="auto"/>
                <w:right w:val="none" w:sz="0" w:space="0" w:color="auto"/>
              </w:divBdr>
            </w:div>
            <w:div w:id="900564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14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68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610">
          <w:marLeft w:val="0"/>
          <w:marRight w:val="0"/>
          <w:marTop w:val="120"/>
          <w:marBottom w:val="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13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9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994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  <w:divsChild>
                    <w:div w:id="13678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2020-11-24T09:31:00Z</dcterms:created>
  <dcterms:modified xsi:type="dcterms:W3CDTF">2021-01-25T10:37:00Z</dcterms:modified>
</cp:coreProperties>
</file>