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18904"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1. Одним из ключевых направлений деятельности АО «Федеральная корпорация по развитию малого и среднего предпринимательства» (далее -АО «Корпорация МСП») является оказание финансовой поддержки субъектам малого и среднего предпринимательства.</w:t>
      </w:r>
    </w:p>
    <w:p w14:paraId="354239E3"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На достижение указанной цели направлена Программа стимулирования кредитования субъектов малого и среднего предпринимательства (далее -Программа).</w:t>
      </w:r>
    </w:p>
    <w:p w14:paraId="48B37C27"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Условия предоставления кредитных средств в рамках Программы:</w:t>
      </w:r>
    </w:p>
    <w:p w14:paraId="28AEB0F9"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1) кредиты предоставляются уполномоченными банками субъектам малого и среднего предпринимательства, в т.ч. индивидуальным предпринимателям, на реализацию проектов в приоритетных отраслях экономики (сельское хозяйство / предоставление услуг в этой области, обрабатывающее производство, в т.ч. производство пищевых продуктов, первичная и последующая переработка с/х продуктов, производство и распределение электроэнергии, газа и воды, строительство, транспорт и связь, внутренний туризм, высокотехнологичные проекты, деятельность в области здравоохранения, деятельность по складированию и хранению, деятельность предприятий общественного питания (за исключением ресторанов), деятельность в сфере бытовых услуг,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по ставке 9,6% годовых;</w:t>
      </w:r>
    </w:p>
    <w:p w14:paraId="50C7FAE7"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2) по ставке 10,6% годовых - для субъектов предпринимательства, реализующих проекты в иных отраслях;</w:t>
      </w:r>
    </w:p>
    <w:p w14:paraId="22F13D79"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3) размер кредита: от 3 млн. рублей до 1 млрд. рублей (общий кредитный лимит на заемщика - до 4 млрд. рублей).</w:t>
      </w:r>
    </w:p>
    <w:p w14:paraId="1BCFFE5C"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Участие в Программе в настоящее время принимают 3 кредитные организации, действующие на территории области: ПАО Банк «ЗЕНИТ», АО «Банк Интеза», ПАО «АК БАРС» Банк.</w:t>
      </w:r>
    </w:p>
    <w:p w14:paraId="155DDA21"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Подробная информация об уполномоченных банках, приоритетных отраслях, условиях и требованиях, порядке взаимодействия размещена на сайте АО «Корпорация МСП», адрес: </w:t>
      </w:r>
      <w:hyperlink r:id="rId5" w:history="1">
        <w:r w:rsidRPr="003233CE">
          <w:rPr>
            <w:rStyle w:val="a3"/>
            <w:color w:val="24A7D5"/>
            <w:sz w:val="28"/>
            <w:szCs w:val="28"/>
          </w:rPr>
          <w:t>https://corpmsp.ru/bankam/programma_stimulir/</w:t>
        </w:r>
      </w:hyperlink>
      <w:r w:rsidRPr="003233CE">
        <w:rPr>
          <w:color w:val="333333"/>
          <w:sz w:val="28"/>
          <w:szCs w:val="28"/>
        </w:rPr>
        <w:t>.</w:t>
      </w:r>
    </w:p>
    <w:p w14:paraId="4C85DB23"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Кроме того, АО «Корпорация МСП» реализует программу льготного лизинга, в рамках которой оборудование предоставляется субъектам индивидуального и малого предпринимательства по ставке 6% годовых (для отечественного оборудования) и 8% годовых (для иностранного оборудования). Договоры лизинга- от 3 до 200 млн. рублей.</w:t>
      </w:r>
    </w:p>
    <w:p w14:paraId="46349B91"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Программу льготного лизинга оборудования АО «Корпорация МСП» реализуют 4 региональные лизинговые компании, в том числе в республиках Татарстан и Башкортостан. Её участниками могут стать действующие субъекты бизнеса всех регионов России.</w:t>
      </w:r>
    </w:p>
    <w:p w14:paraId="6B40D8F3"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Более подробная информация о программе льготного лизинга - на сайте АО «Корпорация МСП» </w:t>
      </w:r>
      <w:hyperlink r:id="rId6" w:history="1">
        <w:r w:rsidRPr="003233CE">
          <w:rPr>
            <w:rStyle w:val="a3"/>
            <w:color w:val="24A7D5"/>
            <w:sz w:val="28"/>
            <w:szCs w:val="28"/>
          </w:rPr>
          <w:t>https://corpmsp.ru/finansovaya-podderzhka/lizingovaya-podderzhka/</w:t>
        </w:r>
      </w:hyperlink>
      <w:r w:rsidRPr="003233CE">
        <w:rPr>
          <w:color w:val="333333"/>
          <w:sz w:val="28"/>
          <w:szCs w:val="28"/>
        </w:rPr>
        <w:t> .</w:t>
      </w:r>
    </w:p>
    <w:p w14:paraId="31CFC2DC"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lastRenderedPageBreak/>
        <w:t>Прямое кредитование субъектов малого и среднего предпринимательства, в том числе на пополнение оборотных средств, в рамках Программы осуществляет АО «МСП Банк». Более подробная информация размещена на сайте АО «МСП Банка», путь поиска: Предпринимателям / Кредитная поддержка.</w:t>
      </w:r>
    </w:p>
    <w:p w14:paraId="0A735102"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 xml:space="preserve">АО «Корпорация МСП» в 2019 году планирует провести на территории Саратовской области стратегическую сессию по рассмотрению приоритетных инвестиционных проектов субъектов малого и среднего предпринимательства Саратовской области для предоставления кредитно-гарантийной и лизинговой поддержки АО «Корпорация МСП» и АО «МСП Банк» с участием Губернатора области В.В. </w:t>
      </w:r>
      <w:proofErr w:type="spellStart"/>
      <w:r w:rsidRPr="003233CE">
        <w:rPr>
          <w:color w:val="333333"/>
          <w:sz w:val="28"/>
          <w:szCs w:val="28"/>
        </w:rPr>
        <w:t>Радаева</w:t>
      </w:r>
      <w:proofErr w:type="spellEnd"/>
      <w:r w:rsidRPr="003233CE">
        <w:rPr>
          <w:color w:val="333333"/>
          <w:sz w:val="28"/>
          <w:szCs w:val="28"/>
        </w:rPr>
        <w:t>, а также представителей уполномоченных банков.</w:t>
      </w:r>
    </w:p>
    <w:p w14:paraId="04F78076"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p>
    <w:p w14:paraId="2607F454"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p>
    <w:p w14:paraId="1A34FC9B" w14:textId="0E7DDE5A"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2. В целях развития индивидуального и малого предпринимательства, в рамках реализации программы льготного лизинга оборудования АО «Региональная лизинговая компания Республики Татарстан» и АО «Региональная лизинговая компания Республики Башкортостан» (далее </w:t>
      </w:r>
      <w:r w:rsidRPr="003233CE">
        <w:rPr>
          <w:noProof/>
          <w:color w:val="333333"/>
          <w:sz w:val="28"/>
          <w:szCs w:val="28"/>
        </w:rPr>
        <mc:AlternateContent>
          <mc:Choice Requires="wps">
            <w:drawing>
              <wp:inline distT="0" distB="0" distL="0" distR="0" wp14:anchorId="00170C3F" wp14:editId="2DA42DCD">
                <wp:extent cx="95250" cy="190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7B9F4" id="Прямоугольник 2"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" filled="f" stroked="f">
                <o:lock v:ext="edit" aspectratio="t"/>
                <w10:anchorlock/>
              </v:rect>
            </w:pict>
          </mc:Fallback>
        </mc:AlternateContent>
      </w:r>
      <w:r w:rsidRPr="003233CE">
        <w:rPr>
          <w:color w:val="333333"/>
          <w:sz w:val="28"/>
          <w:szCs w:val="28"/>
        </w:rPr>
        <w:t>региональные лизинговые компании) предоставляют субъектам малого предпринимательства, зарегистрированным в любом регионе Российской Федерации, оборудование в лизинг по льготным ставкам.</w:t>
      </w:r>
    </w:p>
    <w:p w14:paraId="7DCB81B9"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Участниками программы льготного лизинга могут стать индивидуальные предприниматели и юридические лица, являющиеся субъектами малого предпринимательства, имеющие потребность в приобретении в лизинг высокотехнологичного и инновационного оборудования, промышленного оборудования, а также оборудования в сфере переработки и хранения сельскохозяйственной продукции.</w:t>
      </w:r>
    </w:p>
    <w:p w14:paraId="033C97FD"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Оборудование предоставляется в лизинг действующему бизнесу на расширение производства.</w:t>
      </w:r>
    </w:p>
    <w:p w14:paraId="469F691A" w14:textId="1F3501E2"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Субъекты малого предпринимательства смогут заключить договоры лизинга на сумму от 1,5 млн. рублей до 200,0 млн. рублей. Максимальная ставка по лизингу оборудования импортного производства составит 8% годовых, отечественного производства — 6% годовых, срок договора лизинга — до 84 месяцев. Минимальный авансовый платеж по договору лизинга составляет от </w:t>
      </w:r>
      <w:r w:rsidRPr="003233CE">
        <w:rPr>
          <w:noProof/>
          <w:color w:val="333333"/>
          <w:sz w:val="28"/>
          <w:szCs w:val="28"/>
        </w:rPr>
        <mc:AlternateContent>
          <mc:Choice Requires="wps">
            <w:drawing>
              <wp:inline distT="0" distB="0" distL="0" distR="0" wp14:anchorId="0F3D8E87" wp14:editId="043C7A85">
                <wp:extent cx="295275" cy="1238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02C88" id="Прямоугольник 1" o:spid="_x0000_s1026" style="width:23.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" filled="f" stroked="f">
                <o:lock v:ext="edit" aspectratio="t"/>
                <w10:anchorlock/>
              </v:rect>
            </w:pict>
          </mc:Fallback>
        </mc:AlternateContent>
      </w:r>
      <w:r w:rsidRPr="003233CE">
        <w:rPr>
          <w:color w:val="333333"/>
          <w:sz w:val="28"/>
          <w:szCs w:val="28"/>
        </w:rPr>
        <w:t>(для высокотехнологичного и инновационного производства и для сельскохозяйственных кооперативов) до от стоимости предмета лизинга.</w:t>
      </w:r>
    </w:p>
    <w:p w14:paraId="6C8FDA05"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Начиная с 2019 года, АО «Федеральная корпорация по развитию малого и среднего предпринимательства» запустило новый лизинговый продукт, согласно которому малые и средние компании, имеющие поручительства региональных гарантийных организаций, смогут взять оборудование в лизинг без авансового платежа.</w:t>
      </w:r>
    </w:p>
    <w:p w14:paraId="65ABDEE9"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Обязательным условием предоставления оборудования в лизинг являе1СЯ наличие поручительств физических лиц, владеющих более 50% долей/паев лизингополучателя, или региональной гарантийной организации.</w:t>
      </w:r>
    </w:p>
    <w:p w14:paraId="0D937C78"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lastRenderedPageBreak/>
        <w:t>Субъекты малого предпринимательства могут подать предварительную заявку, заполнив анкету на сайте региональных лизинговых компаний.</w:t>
      </w:r>
    </w:p>
    <w:p w14:paraId="6E1AC9AE"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Подробная информация о продукте размещена на странице Корпорации МСП по адресу: </w:t>
      </w:r>
      <w:hyperlink r:id="rId7" w:history="1">
        <w:r w:rsidRPr="003233CE">
          <w:rPr>
            <w:rStyle w:val="a3"/>
            <w:color w:val="24A7D5"/>
            <w:sz w:val="28"/>
            <w:szCs w:val="28"/>
          </w:rPr>
          <w:t>https://corpmsp.ru/</w:t>
        </w:r>
      </w:hyperlink>
      <w:r w:rsidRPr="003233CE">
        <w:rPr>
          <w:color w:val="333333"/>
          <w:sz w:val="28"/>
          <w:szCs w:val="28"/>
        </w:rPr>
        <w:t> в разделе «Финансовая поддержка» и на сайтах региональных лизинговых компаний Республики Татарстан (</w:t>
      </w:r>
      <w:hyperlink r:id="rId8" w:history="1">
        <w:r w:rsidRPr="003233CE">
          <w:rPr>
            <w:rStyle w:val="a3"/>
            <w:color w:val="24A7D5"/>
            <w:sz w:val="28"/>
            <w:szCs w:val="28"/>
          </w:rPr>
          <w:t>http://rlcrt.ru/</w:t>
        </w:r>
      </w:hyperlink>
      <w:r w:rsidRPr="003233CE">
        <w:rPr>
          <w:color w:val="333333"/>
          <w:sz w:val="28"/>
          <w:szCs w:val="28"/>
        </w:rPr>
        <w:t>) и Республики Башкортостан (</w:t>
      </w:r>
      <w:hyperlink r:id="rId9" w:history="1">
        <w:r w:rsidRPr="003233CE">
          <w:rPr>
            <w:rStyle w:val="a3"/>
            <w:color w:val="24A7D5"/>
            <w:sz w:val="28"/>
            <w:szCs w:val="28"/>
          </w:rPr>
          <w:t>http://rlcrb.ru/)</w:t>
        </w:r>
      </w:hyperlink>
      <w:r w:rsidRPr="003233CE">
        <w:rPr>
          <w:color w:val="333333"/>
          <w:sz w:val="28"/>
          <w:szCs w:val="28"/>
        </w:rPr>
        <w:t>.</w:t>
      </w:r>
    </w:p>
    <w:p w14:paraId="14B7F9FF"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p>
    <w:p w14:paraId="70FE60C2"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3. Администрация Самойловского муниципального района доводит до субъектов предпринимательства области, в т.ч. осуществляющих деятельность в сфере торговли печатной продукцией, информацию о мерах финансовой поддержки в виде:</w:t>
      </w:r>
    </w:p>
    <w:p w14:paraId="69D2EA5C"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льготных микрозаймов НМК &lt;&lt;Фонд микрокредитования субъектов малого предпринимательства Саратовской области» под 8-l l% годовых (под 3% годовых в моногородах), в том числе под поручительство и залог имущества. Размер займа составляет не более 2,5 млн. рублей; поручительств АО «Гарантийный фонд для субъектов малого предпринимательства Саратовской области» по договорам о предоставлении кредитов, банковских гарантий, займов, финансовой аренды (лизинга), заключаемым с финансовыми организациями. Фондом заключены партнерские соглашения о сотрудничестве с 19 финансово-кредитными организациями, в том числе с Фондом микрокредитования. Максимальный размер поручительства - до 25 млн. рублей в зависимости от финансового положения заемщика.</w:t>
      </w:r>
    </w:p>
    <w:p w14:paraId="5B75BD3D"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На федеральном уровне реализуются следующие программы льготного кредитования малого и среднего бизнеса:</w:t>
      </w:r>
    </w:p>
    <w:p w14:paraId="4EE9A3A0"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Программа АО «Федеральная корпорация по развитию малого и среднего предпринимательства» кредиты предоставляются уполномоченными банками субъектам малого и среднего предпринимательства сферы торговли, в т.ч. индивидуальным предпринимателям, на реализацию проектов по ставке годовых.</w:t>
      </w:r>
    </w:p>
    <w:p w14:paraId="7437227D"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Размер кредита: от З млн. рублей до 1 млрд. рублей (общий кредитный ЛИМУ т на заемщика - до 4 млрд. рублей).</w:t>
      </w:r>
    </w:p>
    <w:p w14:paraId="02330ECC"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Для участия в Программе необходимо обратиться в кредитные организации, действующие на территории области: АО «Альфа-Банк», Банк ВТБ (ПАО), Банк ГПБ (АО), ПАО «Промсвязьбанк», АО «Райффайзенбанк», ПАС РОСБАНК, АО «</w:t>
      </w:r>
      <w:proofErr w:type="spellStart"/>
      <w:r w:rsidRPr="003233CE">
        <w:rPr>
          <w:color w:val="333333"/>
          <w:sz w:val="28"/>
          <w:szCs w:val="28"/>
        </w:rPr>
        <w:t>Россельхозбанк</w:t>
      </w:r>
      <w:proofErr w:type="spellEnd"/>
      <w:r w:rsidRPr="003233CE">
        <w:rPr>
          <w:color w:val="333333"/>
          <w:sz w:val="28"/>
          <w:szCs w:val="28"/>
        </w:rPr>
        <w:t>», ПАО «Сбербанк», ПАО Банк «ЗЕНИТ», АО «Банк Интеза», ПАО «АК БАРС» Банк, ПАО АКБ «Связь-Банк», ПАО «</w:t>
      </w:r>
      <w:proofErr w:type="spellStart"/>
      <w:r w:rsidRPr="003233CE">
        <w:rPr>
          <w:color w:val="333333"/>
          <w:sz w:val="28"/>
          <w:szCs w:val="28"/>
        </w:rPr>
        <w:t>Совкомбанк</w:t>
      </w:r>
      <w:proofErr w:type="spellEnd"/>
      <w:r w:rsidRPr="003233CE">
        <w:rPr>
          <w:color w:val="333333"/>
          <w:sz w:val="28"/>
          <w:szCs w:val="28"/>
        </w:rPr>
        <w:t>», ПАО «Банк «Открытие», АО «</w:t>
      </w:r>
      <w:proofErr w:type="spellStart"/>
      <w:r w:rsidRPr="003233CE">
        <w:rPr>
          <w:color w:val="333333"/>
          <w:sz w:val="28"/>
          <w:szCs w:val="28"/>
        </w:rPr>
        <w:t>ЮниКредитБанк</w:t>
      </w:r>
      <w:proofErr w:type="spellEnd"/>
      <w:r w:rsidRPr="003233CE">
        <w:rPr>
          <w:color w:val="333333"/>
          <w:sz w:val="28"/>
          <w:szCs w:val="28"/>
        </w:rPr>
        <w:t>», ПАО «Банк Уралсиб».</w:t>
      </w:r>
    </w:p>
    <w:p w14:paraId="7BCB6579"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Программа Минэкономразвития России: постановлением Правительства Российской Федерации от 30 декабря 2018 года №1764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 до 8,5 </w:t>
      </w:r>
      <w:r w:rsidRPr="003233CE">
        <w:rPr>
          <w:color w:val="333333"/>
          <w:sz w:val="28"/>
          <w:szCs w:val="28"/>
          <w:vertAlign w:val="superscript"/>
        </w:rPr>
        <w:t>0</w:t>
      </w:r>
      <w:r w:rsidRPr="003233CE">
        <w:rPr>
          <w:color w:val="333333"/>
          <w:sz w:val="28"/>
          <w:szCs w:val="28"/>
        </w:rPr>
        <w:t>/0 годовых.</w:t>
      </w:r>
    </w:p>
    <w:p w14:paraId="4500CA18"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lastRenderedPageBreak/>
        <w:t>Кредиты от 500 тыс. рублей до 2 млрд. рублей на срок до 10 лет предоставляются на инвестиционные цели; от 500 тыс. рублей до 500 млн. рублей на срок до З лет — для оборотного кредитования.</w:t>
      </w:r>
    </w:p>
    <w:p w14:paraId="4A55E44B"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r w:rsidRPr="003233CE">
        <w:rPr>
          <w:color w:val="333333"/>
          <w:sz w:val="28"/>
          <w:szCs w:val="28"/>
        </w:rPr>
        <w:t>Участие в Программе принимают 18 уполномоченных банков, действующих на территории Саратовской области: ПАО «Промсвязьбанк», АО «АЛЬФА-БАНК», АО «Райффайзенбанк», ПАО РОСБАНК, АО «</w:t>
      </w:r>
      <w:proofErr w:type="spellStart"/>
      <w:r w:rsidRPr="003233CE">
        <w:rPr>
          <w:color w:val="333333"/>
          <w:sz w:val="28"/>
          <w:szCs w:val="28"/>
        </w:rPr>
        <w:t>Россельхозбанк</w:t>
      </w:r>
      <w:proofErr w:type="spellEnd"/>
      <w:r w:rsidRPr="003233CE">
        <w:rPr>
          <w:color w:val="333333"/>
          <w:sz w:val="28"/>
          <w:szCs w:val="28"/>
        </w:rPr>
        <w:t>», ПАО Сбербанк, ПАО «</w:t>
      </w:r>
      <w:proofErr w:type="spellStart"/>
      <w:r w:rsidRPr="003233CE">
        <w:rPr>
          <w:color w:val="333333"/>
          <w:sz w:val="28"/>
          <w:szCs w:val="28"/>
        </w:rPr>
        <w:t>Совкомбанк</w:t>
      </w:r>
      <w:proofErr w:type="spellEnd"/>
      <w:r w:rsidRPr="003233CE">
        <w:rPr>
          <w:color w:val="333333"/>
          <w:sz w:val="28"/>
          <w:szCs w:val="28"/>
        </w:rPr>
        <w:t>», Банк ВТБ (ПАО), ПАО «АК БАРС» Банк, Банк Газпромбанк (АО), АО «Банк Интеза», ООО «Банк Саратов», АО «СМП Банк», АО «АБ «РОССИЯ», ПАО «Банк Зенит», АО «Банк ДОМ. РФ», ПАО «МТС-Банк», ПАО Банк «ФК Открытие».</w:t>
      </w:r>
    </w:p>
    <w:p w14:paraId="5C23E876"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p>
    <w:p w14:paraId="6899E130" w14:textId="77777777" w:rsidR="004C2C63" w:rsidRPr="003233CE" w:rsidRDefault="004C2C63" w:rsidP="003233CE">
      <w:pPr>
        <w:pStyle w:val="a4"/>
        <w:shd w:val="clear" w:color="auto" w:fill="FFFFFF"/>
        <w:spacing w:before="0" w:beforeAutospacing="0" w:after="0" w:afterAutospacing="0"/>
        <w:ind w:firstLine="426"/>
        <w:jc w:val="both"/>
        <w:rPr>
          <w:color w:val="333333"/>
          <w:sz w:val="28"/>
          <w:szCs w:val="28"/>
        </w:rPr>
      </w:pPr>
    </w:p>
    <w:p w14:paraId="7DB7CE50" w14:textId="77777777" w:rsidR="004C2C63" w:rsidRPr="004C2C63" w:rsidRDefault="004C2C63" w:rsidP="003233CE">
      <w:pPr>
        <w:shd w:val="clear" w:color="auto" w:fill="FFFFFF"/>
        <w:spacing w:after="0" w:line="240" w:lineRule="auto"/>
        <w:ind w:firstLine="426"/>
        <w:jc w:val="both"/>
        <w:outlineLvl w:val="0"/>
        <w:rPr>
          <w:rFonts w:ascii="Times New Roman" w:eastAsia="Times New Roman" w:hAnsi="Times New Roman" w:cs="Times New Roman"/>
          <w:color w:val="24A7D5"/>
          <w:kern w:val="36"/>
          <w:sz w:val="28"/>
          <w:szCs w:val="28"/>
          <w:lang w:eastAsia="ru-RU"/>
        </w:rPr>
      </w:pPr>
    </w:p>
    <w:sectPr w:rsidR="004C2C63" w:rsidRPr="004C2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25"/>
    <w:multiLevelType w:val="multilevel"/>
    <w:tmpl w:val="2A16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3"/>
    <w:rsid w:val="003233CE"/>
    <w:rsid w:val="004C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F0A"/>
  <w15:chartTrackingRefBased/>
  <w15:docId w15:val="{C01B7BAC-43BE-4497-8F76-0C6960A4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C2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C2C63"/>
    <w:rPr>
      <w:color w:val="0000FF"/>
      <w:u w:val="single"/>
    </w:rPr>
  </w:style>
  <w:style w:type="paragraph" w:styleId="a4">
    <w:name w:val="Normal (Web)"/>
    <w:basedOn w:val="a"/>
    <w:uiPriority w:val="99"/>
    <w:semiHidden/>
    <w:unhideWhenUsed/>
    <w:rsid w:val="004C2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3432">
      <w:bodyDiv w:val="1"/>
      <w:marLeft w:val="0"/>
      <w:marRight w:val="0"/>
      <w:marTop w:val="0"/>
      <w:marBottom w:val="0"/>
      <w:divBdr>
        <w:top w:val="none" w:sz="0" w:space="0" w:color="auto"/>
        <w:left w:val="none" w:sz="0" w:space="0" w:color="auto"/>
        <w:bottom w:val="none" w:sz="0" w:space="0" w:color="auto"/>
        <w:right w:val="none" w:sz="0" w:space="0" w:color="auto"/>
      </w:divBdr>
    </w:div>
    <w:div w:id="789279822">
      <w:bodyDiv w:val="1"/>
      <w:marLeft w:val="0"/>
      <w:marRight w:val="0"/>
      <w:marTop w:val="0"/>
      <w:marBottom w:val="0"/>
      <w:divBdr>
        <w:top w:val="none" w:sz="0" w:space="0" w:color="auto"/>
        <w:left w:val="none" w:sz="0" w:space="0" w:color="auto"/>
        <w:bottom w:val="none" w:sz="0" w:space="0" w:color="auto"/>
        <w:right w:val="none" w:sz="0" w:space="0" w:color="auto"/>
      </w:divBdr>
    </w:div>
    <w:div w:id="1275091895">
      <w:bodyDiv w:val="1"/>
      <w:marLeft w:val="0"/>
      <w:marRight w:val="0"/>
      <w:marTop w:val="0"/>
      <w:marBottom w:val="0"/>
      <w:divBdr>
        <w:top w:val="none" w:sz="0" w:space="0" w:color="auto"/>
        <w:left w:val="none" w:sz="0" w:space="0" w:color="auto"/>
        <w:bottom w:val="none" w:sz="0" w:space="0" w:color="auto"/>
        <w:right w:val="none" w:sz="0" w:space="0" w:color="auto"/>
      </w:divBdr>
    </w:div>
    <w:div w:id="1370494902">
      <w:bodyDiv w:val="1"/>
      <w:marLeft w:val="0"/>
      <w:marRight w:val="0"/>
      <w:marTop w:val="0"/>
      <w:marBottom w:val="0"/>
      <w:divBdr>
        <w:top w:val="none" w:sz="0" w:space="0" w:color="auto"/>
        <w:left w:val="none" w:sz="0" w:space="0" w:color="auto"/>
        <w:bottom w:val="none" w:sz="0" w:space="0" w:color="auto"/>
        <w:right w:val="none" w:sz="0" w:space="0" w:color="auto"/>
      </w:divBdr>
    </w:div>
    <w:div w:id="15152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lcrt.ru/" TargetMode="External"/><Relationship Id="rId3" Type="http://schemas.openxmlformats.org/officeDocument/2006/relationships/settings" Target="settings.xml"/><Relationship Id="rId7" Type="http://schemas.openxmlformats.org/officeDocument/2006/relationships/hyperlink" Target="https://corpm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msp.ru/finansovaya-podderzhka/lizingovaya-podderzhka/" TargetMode="External"/><Relationship Id="rId11" Type="http://schemas.openxmlformats.org/officeDocument/2006/relationships/theme" Target="theme/theme1.xml"/><Relationship Id="rId5" Type="http://schemas.openxmlformats.org/officeDocument/2006/relationships/hyperlink" Target="https://corpmsp.ru/bankam/programma_stimul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l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ADM03</dc:creator>
  <cp:keywords/>
  <dc:description/>
  <cp:lastModifiedBy>ADM03</cp:lastModifiedBy>
  <cp:revision>1</cp:revision>
  <dcterms:created xsi:type="dcterms:W3CDTF">2020-12-25T04:48:00Z</dcterms:created>
  <dcterms:modified xsi:type="dcterms:W3CDTF">2020-12-25T05:01:00Z</dcterms:modified>
</cp:coreProperties>
</file>