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7E66BA" w:rsidRDefault="007E66BA" w:rsidP="003A49BE">
      <w:pPr>
        <w:pStyle w:val="Default"/>
        <w:rPr>
          <w:b/>
          <w:color w:val="663300"/>
          <w:sz w:val="48"/>
          <w:szCs w:val="48"/>
        </w:rPr>
      </w:pPr>
    </w:p>
    <w:p w:rsidR="00C80449" w:rsidRDefault="00C80449"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58626B" w:rsidRPr="00A51270">
        <w:rPr>
          <w:b/>
          <w:color w:val="000000" w:themeColor="text1"/>
          <w:sz w:val="34"/>
          <w:szCs w:val="34"/>
        </w:rPr>
        <w:t xml:space="preserve"> </w:t>
      </w:r>
      <w:r w:rsidR="00A51270">
        <w:rPr>
          <w:b/>
          <w:color w:val="000000" w:themeColor="text1"/>
          <w:sz w:val="34"/>
          <w:szCs w:val="34"/>
        </w:rPr>
        <w:t>ХРУЩЕВСКОГО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336CCA" w:rsidP="00C250D0">
      <w:pPr>
        <w:contextualSpacing/>
        <w:jc w:val="center"/>
        <w:rPr>
          <w:b/>
          <w:color w:val="000000" w:themeColor="text1"/>
          <w:sz w:val="34"/>
          <w:szCs w:val="34"/>
        </w:rPr>
      </w:pPr>
      <w:r>
        <w:rPr>
          <w:b/>
          <w:color w:val="000000" w:themeColor="text1"/>
          <w:sz w:val="34"/>
          <w:szCs w:val="34"/>
        </w:rPr>
        <w:t>САМОЙЛОВСКОГО</w:t>
      </w:r>
      <w:r w:rsidR="00C250D0">
        <w:rPr>
          <w:b/>
          <w:color w:val="000000" w:themeColor="text1"/>
          <w:sz w:val="34"/>
          <w:szCs w:val="34"/>
        </w:rPr>
        <w:t xml:space="preserve">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822598" w:rsidP="00C250D0">
      <w:pPr>
        <w:ind w:left="851" w:right="991"/>
        <w:jc w:val="center"/>
        <w:rPr>
          <w:b/>
          <w:color w:val="404040" w:themeColor="text1" w:themeTint="BF"/>
          <w:sz w:val="48"/>
          <w:szCs w:val="48"/>
        </w:rPr>
      </w:pPr>
      <w:r w:rsidRPr="00822598">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3A49BE" w:rsidRPr="0055424A" w:rsidRDefault="005C09B4" w:rsidP="003A49BE">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3A49BE" w:rsidRPr="0055424A" w:rsidRDefault="003A49BE" w:rsidP="003A49BE">
      <w:pPr>
        <w:rPr>
          <w:b/>
          <w:highlight w:val="yellow"/>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C250D0" w:rsidRDefault="005C09B4" w:rsidP="00C250D0">
      <w:pPr>
        <w:tabs>
          <w:tab w:val="left" w:pos="3270"/>
        </w:tabs>
        <w:jc w:val="center"/>
        <w:rPr>
          <w:sz w:val="28"/>
          <w:szCs w:val="28"/>
        </w:rPr>
      </w:pPr>
      <w:r w:rsidRPr="005C09B4">
        <w:rPr>
          <w:sz w:val="28"/>
          <w:szCs w:val="28"/>
        </w:rPr>
        <w:t>р.п. Самойловка</w:t>
      </w:r>
      <w:r w:rsidR="00C250D0">
        <w:rPr>
          <w:sz w:val="28"/>
          <w:szCs w:val="28"/>
        </w:rPr>
        <w:t>, 2017</w:t>
      </w:r>
    </w:p>
    <w:p w:rsidR="005C09B4" w:rsidRPr="0055424A" w:rsidRDefault="005C09B4" w:rsidP="00336CCA">
      <w:pP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A51270" w:rsidP="00542B6E">
      <w:pPr>
        <w:jc w:val="center"/>
        <w:rPr>
          <w:sz w:val="28"/>
          <w:szCs w:val="28"/>
        </w:rPr>
      </w:pPr>
      <w:r>
        <w:rPr>
          <w:b/>
          <w:sz w:val="28"/>
          <w:szCs w:val="28"/>
        </w:rPr>
        <w:t>Хрущевского</w:t>
      </w:r>
      <w:r w:rsidR="007B3362" w:rsidRPr="007B3362">
        <w:rPr>
          <w:b/>
          <w:sz w:val="28"/>
          <w:szCs w:val="28"/>
        </w:rPr>
        <w:t xml:space="preserve"> муниципального образования Самойловского муниципального</w:t>
      </w:r>
      <w:r w:rsidR="009241D9" w:rsidRPr="009241D9">
        <w:rPr>
          <w:b/>
          <w:sz w:val="28"/>
          <w:szCs w:val="28"/>
        </w:rPr>
        <w:t xml:space="preserve"> </w:t>
      </w:r>
      <w:r w:rsidR="009B0CA1" w:rsidRPr="009B0CA1">
        <w:rPr>
          <w:b/>
          <w:sz w:val="28"/>
          <w:szCs w:val="28"/>
        </w:rPr>
        <w:t>района</w:t>
      </w:r>
      <w:r w:rsidR="00542B6E">
        <w:rPr>
          <w:b/>
          <w:sz w:val="28"/>
          <w:szCs w:val="28"/>
        </w:rPr>
        <w:t xml:space="preserve">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7B3362" w:rsidP="003A49BE">
            <w:pPr>
              <w:jc w:val="both"/>
            </w:pPr>
            <w:r>
              <w:t>ИП Хохлов Евгений Владимирович</w:t>
            </w:r>
            <w:r w:rsidR="003A49BE" w:rsidRPr="00B40205">
              <w:t xml:space="preserve">  на основании  </w:t>
            </w:r>
            <w:r>
              <w:t>договора</w:t>
            </w:r>
            <w:r w:rsidR="009241D9" w:rsidRPr="009241D9">
              <w:t xml:space="preserve"> </w:t>
            </w:r>
            <w:r w:rsidR="003A49BE" w:rsidRPr="00B40205">
              <w:rPr>
                <w:bCs/>
              </w:rPr>
              <w:t xml:space="preserve">на </w:t>
            </w:r>
            <w:r w:rsidR="003A49BE" w:rsidRPr="00B40205">
              <w:t xml:space="preserve"> оказание услуг по разработке проект</w:t>
            </w:r>
            <w:r w:rsidR="00542B6E">
              <w:t>ов местных нормативов градостроительного проектирования</w:t>
            </w:r>
            <w:r w:rsidR="001119C7">
              <w:t xml:space="preserve"> от 25.09.2017 г.</w:t>
            </w:r>
            <w:r w:rsidR="00542B6E">
              <w:t xml:space="preserve">, заключенного с администрацией </w:t>
            </w:r>
            <w:r w:rsidRPr="007B3362">
              <w:t>Самойловского</w:t>
            </w:r>
            <w:r w:rsidR="00542B6E">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C80449" w:rsidRDefault="00C80449" w:rsidP="00C80449">
            <w:pPr>
              <w:jc w:val="center"/>
            </w:pPr>
            <w:r>
              <w:t xml:space="preserve">Решением Муниципального Собрания Самойловского муниципального района Саратовской области </w:t>
            </w:r>
          </w:p>
          <w:p w:rsidR="003A49BE" w:rsidRPr="00B40205" w:rsidRDefault="00C80449" w:rsidP="00C80449">
            <w:pPr>
              <w:jc w:val="center"/>
            </w:pPr>
            <w:r>
              <w:t>от «25» декабря 2017 г.</w:t>
            </w:r>
            <w:r w:rsidR="009A28FC">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7B3362" w:rsidP="003A49BE">
      <w:pPr>
        <w:jc w:val="both"/>
        <w:rPr>
          <w:b/>
          <w:highlight w:val="yellow"/>
        </w:rPr>
      </w:pPr>
      <w:r>
        <w:rPr>
          <w:b/>
        </w:rPr>
        <w:t>Индивидуальный предприниматель                                             Е.В. Хохлов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B3362" w:rsidRDefault="007B3362" w:rsidP="003A49BE">
      <w:pPr>
        <w:jc w:val="both"/>
        <w:rPr>
          <w:b/>
          <w:sz w:val="28"/>
          <w:szCs w:val="28"/>
          <w:highlight w:val="yellow"/>
        </w:rPr>
      </w:pPr>
    </w:p>
    <w:p w:rsidR="007B3362" w:rsidRPr="0055424A" w:rsidRDefault="007B3362"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7B3362" w:rsidRPr="00B40205" w:rsidRDefault="007B3362" w:rsidP="007B3362">
      <w:pPr>
        <w:jc w:val="center"/>
        <w:rPr>
          <w:b/>
          <w:bCs/>
          <w:sz w:val="28"/>
          <w:szCs w:val="28"/>
        </w:rPr>
      </w:pPr>
      <w:r w:rsidRPr="00B40205">
        <w:rPr>
          <w:b/>
          <w:bCs/>
          <w:sz w:val="28"/>
          <w:szCs w:val="28"/>
        </w:rPr>
        <w:t>Местные нормативы градостроительного проектирования</w:t>
      </w:r>
    </w:p>
    <w:p w:rsidR="007B3362" w:rsidRPr="00B40205" w:rsidRDefault="00A51270" w:rsidP="007B3362">
      <w:pPr>
        <w:jc w:val="center"/>
        <w:rPr>
          <w:sz w:val="28"/>
          <w:szCs w:val="28"/>
        </w:rPr>
      </w:pPr>
      <w:r>
        <w:rPr>
          <w:b/>
          <w:sz w:val="28"/>
          <w:szCs w:val="28"/>
        </w:rPr>
        <w:t>Хрущевского</w:t>
      </w:r>
      <w:r w:rsidR="007B3362" w:rsidRPr="007B3362">
        <w:rPr>
          <w:b/>
          <w:sz w:val="28"/>
          <w:szCs w:val="28"/>
        </w:rPr>
        <w:t xml:space="preserve"> муниципального образования Самойловского муниципального</w:t>
      </w:r>
      <w:r w:rsidR="009241D9" w:rsidRPr="009241D9">
        <w:rPr>
          <w:b/>
          <w:sz w:val="28"/>
          <w:szCs w:val="28"/>
        </w:rPr>
        <w:t xml:space="preserve"> </w:t>
      </w:r>
      <w:r w:rsidR="009B0CA1" w:rsidRPr="009B0CA1">
        <w:rPr>
          <w:b/>
          <w:sz w:val="28"/>
          <w:szCs w:val="28"/>
        </w:rPr>
        <w:t>района</w:t>
      </w:r>
      <w:r w:rsidR="007B3362">
        <w:rPr>
          <w:b/>
          <w:sz w:val="28"/>
          <w:szCs w:val="28"/>
        </w:rPr>
        <w:t xml:space="preserve">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bookmarkStart w:id="1" w:name="_GoBack"/>
      <w:bookmarkEnd w:id="1"/>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A51270" w:rsidP="007C79B7">
            <w:pPr>
              <w:rPr>
                <w:rFonts w:ascii="Times New Roman" w:hAnsi="Times New Roman"/>
              </w:rPr>
            </w:pPr>
            <w:r w:rsidRPr="00A51270">
              <w:rPr>
                <w:rFonts w:ascii="Times New Roman" w:hAnsi="Times New Roman"/>
              </w:rPr>
              <w:t>Хрущевского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A51270" w:rsidRPr="00A51270">
              <w:rPr>
                <w:rFonts w:ascii="Times New Roman" w:hAnsi="Times New Roman"/>
              </w:rPr>
              <w:t xml:space="preserve">Хрущевского </w:t>
            </w:r>
            <w:r w:rsidRPr="007C79B7">
              <w:rPr>
                <w:rFonts w:ascii="Times New Roman" w:hAnsi="Times New Roman"/>
              </w:rPr>
              <w:t>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A51270" w:rsidRPr="00A51270">
              <w:rPr>
                <w:rFonts w:ascii="Times New Roman" w:hAnsi="Times New Roman"/>
              </w:rPr>
              <w:t>Хрущевского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A51270" w:rsidRPr="00A51270">
              <w:rPr>
                <w:rFonts w:ascii="Times New Roman" w:hAnsi="Times New Roman"/>
              </w:rPr>
              <w:t>Хрущевского</w:t>
            </w:r>
            <w:r w:rsidRPr="007C79B7">
              <w:rPr>
                <w:rFonts w:ascii="Times New Roman" w:hAnsi="Times New Roman"/>
              </w:rPr>
              <w:t xml:space="preserve"> муниципального образования </w:t>
            </w:r>
            <w:r w:rsidR="007B3362" w:rsidRPr="007B3362">
              <w:rPr>
                <w:rFonts w:ascii="Times New Roman" w:hAnsi="Times New Roman"/>
              </w:rPr>
              <w:t>Самойловского</w:t>
            </w:r>
            <w:r w:rsidRPr="007C79B7">
              <w:rPr>
                <w:rFonts w:ascii="Times New Roman" w:hAnsi="Times New Roman"/>
              </w:rPr>
              <w:t xml:space="preserve">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а) в области </w:t>
            </w:r>
            <w:proofErr w:type="spellStart"/>
            <w:r w:rsidRPr="007C79B7">
              <w:rPr>
                <w:rFonts w:ascii="Times New Roman" w:hAnsi="Times New Roman"/>
              </w:rPr>
              <w:t>электро</w:t>
            </w:r>
            <w:proofErr w:type="spellEnd"/>
            <w:r w:rsidRPr="007C79B7">
              <w:rPr>
                <w:rFonts w:ascii="Times New Roman" w:hAnsi="Times New Roman"/>
              </w:rPr>
              <w:t>-, тепл</w:t>
            </w:r>
            <w:proofErr w:type="gramStart"/>
            <w:r w:rsidRPr="007C79B7">
              <w:rPr>
                <w:rFonts w:ascii="Times New Roman" w:hAnsi="Times New Roman"/>
              </w:rPr>
              <w:t>о-</w:t>
            </w:r>
            <w:proofErr w:type="gramEnd"/>
            <w:r w:rsidRPr="007C79B7">
              <w:rPr>
                <w:rFonts w:ascii="Times New Roman" w:hAnsi="Times New Roman"/>
              </w:rPr>
              <w:t xml:space="preserve">, </w:t>
            </w:r>
            <w:proofErr w:type="spellStart"/>
            <w:r w:rsidRPr="007C79B7">
              <w:rPr>
                <w:rFonts w:ascii="Times New Roman" w:hAnsi="Times New Roman"/>
              </w:rPr>
              <w:t>газо</w:t>
            </w:r>
            <w:proofErr w:type="spellEnd"/>
            <w:r w:rsidRPr="007C79B7">
              <w:rPr>
                <w:rFonts w:ascii="Times New Roman" w:hAnsi="Times New Roman"/>
              </w:rPr>
              <w:t>-,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proofErr w:type="spellStart"/>
            <w:r w:rsidRPr="007C79B7">
              <w:rPr>
                <w:rFonts w:ascii="Times New Roman" w:hAnsi="Times New Roman"/>
              </w:rPr>
              <w:t>д</w:t>
            </w:r>
            <w:proofErr w:type="spellEnd"/>
            <w:r w:rsidRPr="007C79B7">
              <w:rPr>
                <w:rFonts w:ascii="Times New Roman" w:hAnsi="Times New Roman"/>
              </w:rPr>
              <w:t>) в области деятельности органа местного самоуправления</w:t>
            </w:r>
          </w:p>
        </w:tc>
        <w:tc>
          <w:tcPr>
            <w:tcW w:w="1666" w:type="dxa"/>
          </w:tcPr>
          <w:p w:rsidR="007C79B7" w:rsidRPr="007C79B7" w:rsidRDefault="001119C7" w:rsidP="007C79B7">
            <w:pPr>
              <w:rPr>
                <w:rFonts w:ascii="Times New Roman" w:hAnsi="Times New Roman"/>
              </w:rPr>
            </w:pPr>
            <w:r>
              <w:rPr>
                <w:rFonts w:ascii="Times New Roman" w:hAnsi="Times New Roman"/>
              </w:rPr>
              <w:t>26-27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1119C7" w:rsidP="007C79B7">
            <w:pPr>
              <w:rPr>
                <w:rFonts w:ascii="Times New Roman" w:hAnsi="Times New Roman"/>
              </w:rPr>
            </w:pPr>
            <w:r>
              <w:rPr>
                <w:rFonts w:ascii="Times New Roman" w:hAnsi="Times New Roman"/>
              </w:rPr>
              <w:t>27-28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A51270">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w:t>
            </w:r>
            <w:proofErr w:type="gramStart"/>
            <w:r w:rsidRPr="007C79B7">
              <w:rPr>
                <w:rFonts w:ascii="Times New Roman" w:hAnsi="Times New Roman"/>
              </w:rPr>
              <w:t>об</w:t>
            </w:r>
            <w:proofErr w:type="gramEnd"/>
            <w:r w:rsidRPr="007C79B7">
              <w:rPr>
                <w:rFonts w:ascii="Times New Roman" w:hAnsi="Times New Roman"/>
              </w:rPr>
              <w:t xml:space="preserve"> </w:t>
            </w:r>
            <w:r w:rsidR="00A51270" w:rsidRPr="00A51270">
              <w:rPr>
                <w:rFonts w:ascii="Times New Roman" w:hAnsi="Times New Roman"/>
              </w:rPr>
              <w:t>Хрущевско</w:t>
            </w:r>
            <w:r w:rsidR="00A51270">
              <w:rPr>
                <w:rFonts w:ascii="Times New Roman" w:hAnsi="Times New Roman"/>
              </w:rPr>
              <w:t>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012CD5">
            <w:pPr>
              <w:rPr>
                <w:rFonts w:ascii="Times New Roman" w:hAnsi="Times New Roman"/>
              </w:rPr>
            </w:pPr>
            <w:r w:rsidRPr="007C79B7">
              <w:rPr>
                <w:rFonts w:ascii="Times New Roman" w:hAnsi="Times New Roman"/>
              </w:rPr>
              <w:t>30-3</w:t>
            </w:r>
            <w:r w:rsidR="00012CD5">
              <w:rPr>
                <w:rFonts w:ascii="Times New Roman" w:hAnsi="Times New Roman"/>
              </w:rPr>
              <w:t>3</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A51270" w:rsidRPr="00A51270">
        <w:rPr>
          <w:rFonts w:ascii="Times New Roman" w:hAnsi="Times New Roman" w:cs="Times New Roman"/>
          <w:sz w:val="24"/>
          <w:szCs w:val="24"/>
        </w:rPr>
        <w:t>Хрущевского</w:t>
      </w:r>
      <w:r w:rsidR="0003334D" w:rsidRPr="0003334D">
        <w:rPr>
          <w:rFonts w:ascii="Times New Roman" w:hAnsi="Times New Roman" w:cs="Times New Roman"/>
          <w:sz w:val="24"/>
          <w:szCs w:val="24"/>
        </w:rPr>
        <w:t xml:space="preserve"> муниципального образования</w:t>
      </w:r>
      <w:r w:rsidR="009241D9" w:rsidRPr="009241D9">
        <w:rPr>
          <w:rFonts w:ascii="Times New Roman" w:hAnsi="Times New Roman" w:cs="Times New Roman"/>
          <w:sz w:val="24"/>
          <w:szCs w:val="24"/>
        </w:rPr>
        <w:t xml:space="preserve"> </w:t>
      </w:r>
      <w:r w:rsidR="0003334D" w:rsidRPr="0003334D">
        <w:rPr>
          <w:rFonts w:ascii="Times New Roman" w:hAnsi="Times New Roman" w:cs="Times New Roman"/>
          <w:sz w:val="24"/>
          <w:szCs w:val="24"/>
        </w:rPr>
        <w:t>Самойловского муниципального района Саратовской области</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03334D">
        <w:rPr>
          <w:rFonts w:ascii="Times New Roman" w:hAnsi="Times New Roman" w:cs="Times New Roman"/>
          <w:sz w:val="24"/>
          <w:szCs w:val="24"/>
        </w:rPr>
        <w:t xml:space="preserve">заключенного договора </w:t>
      </w:r>
      <w:r w:rsidR="00E201DB" w:rsidRPr="00E201DB">
        <w:rPr>
          <w:rFonts w:ascii="Times New Roman" w:hAnsi="Times New Roman" w:cs="Times New Roman"/>
          <w:sz w:val="24"/>
          <w:szCs w:val="24"/>
        </w:rPr>
        <w:t xml:space="preserve">между </w:t>
      </w:r>
      <w:r w:rsidR="0003334D">
        <w:rPr>
          <w:rFonts w:ascii="Times New Roman" w:hAnsi="Times New Roman" w:cs="Times New Roman"/>
          <w:sz w:val="24"/>
          <w:szCs w:val="24"/>
        </w:rPr>
        <w:t>ИП Хохлов Е.В.</w:t>
      </w:r>
      <w:r w:rsidR="00E201DB" w:rsidRPr="00E201DB">
        <w:rPr>
          <w:rFonts w:ascii="Times New Roman" w:hAnsi="Times New Roman" w:cs="Times New Roman"/>
          <w:sz w:val="24"/>
          <w:szCs w:val="24"/>
        </w:rPr>
        <w:t xml:space="preserve"> и администрацией </w:t>
      </w:r>
      <w:r w:rsidR="0003334D" w:rsidRPr="0003334D">
        <w:rPr>
          <w:rFonts w:ascii="Times New Roman" w:hAnsi="Times New Roman" w:cs="Times New Roman"/>
          <w:sz w:val="24"/>
          <w:szCs w:val="24"/>
        </w:rPr>
        <w:t>Самойловского</w:t>
      </w:r>
      <w:r w:rsidR="00E201DB">
        <w:rPr>
          <w:rFonts w:ascii="Times New Roman" w:hAnsi="Times New Roman" w:cs="Times New Roman"/>
          <w:sz w:val="24"/>
          <w:szCs w:val="24"/>
        </w:rPr>
        <w:t xml:space="preserve"> муниципального района Саратовской области</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 </w:t>
      </w:r>
      <w:r w:rsidR="000E618A" w:rsidRPr="00D06E72">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 </w:t>
      </w:r>
      <w:r w:rsidR="00231862" w:rsidRPr="0003334D">
        <w:rPr>
          <w:rFonts w:ascii="Times New Roman" w:hAnsi="Times New Roman" w:cs="Times New Roman"/>
          <w:sz w:val="24"/>
          <w:szCs w:val="24"/>
        </w:rPr>
        <w:t>Самойловского муниципального района</w:t>
      </w:r>
      <w:r w:rsidR="009241D9" w:rsidRPr="009241D9">
        <w:rPr>
          <w:rFonts w:ascii="Times New Roman" w:hAnsi="Times New Roman" w:cs="Times New Roman"/>
          <w:sz w:val="24"/>
          <w:szCs w:val="24"/>
        </w:rPr>
        <w:t xml:space="preserve"> </w:t>
      </w:r>
      <w:r w:rsidR="00E201DB">
        <w:rPr>
          <w:rFonts w:ascii="Times New Roman" w:hAnsi="Times New Roman" w:cs="Times New Roman"/>
          <w:sz w:val="24"/>
          <w:szCs w:val="24"/>
        </w:rPr>
        <w:t>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9241D9" w:rsidRPr="009241D9">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xml:space="preserve">)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231862" w:rsidRPr="00231862">
        <w:rPr>
          <w:rFonts w:ascii="Times New Roman" w:hAnsi="Times New Roman" w:cs="Times New Roman"/>
          <w:sz w:val="24"/>
          <w:szCs w:val="24"/>
        </w:rPr>
        <w:t>Самойловского муниципального района</w:t>
      </w:r>
      <w:r w:rsidR="00DA4A6C">
        <w:rPr>
          <w:rFonts w:ascii="Times New Roman" w:hAnsi="Times New Roman" w:cs="Times New Roman"/>
          <w:sz w:val="24"/>
          <w:szCs w:val="24"/>
        </w:rPr>
        <w:t xml:space="preserve">,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гражданам, включая инвалидов и другие </w:t>
      </w:r>
      <w:proofErr w:type="spellStart"/>
      <w:r w:rsidRPr="00000E22">
        <w:rPr>
          <w:rFonts w:ascii="Times New Roman" w:hAnsi="Times New Roman" w:cs="Times New Roman"/>
          <w:sz w:val="24"/>
          <w:szCs w:val="24"/>
        </w:rPr>
        <w:t>маломобильные</w:t>
      </w:r>
      <w:proofErr w:type="spellEnd"/>
      <w:r w:rsidRPr="00000E22">
        <w:rPr>
          <w:rFonts w:ascii="Times New Roman" w:hAnsi="Times New Roman" w:cs="Times New Roman"/>
          <w:sz w:val="24"/>
          <w:szCs w:val="24"/>
        </w:rPr>
        <w:t xml:space="preserve">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A51270" w:rsidRPr="00A51270">
        <w:rPr>
          <w:rFonts w:ascii="Times New Roman" w:hAnsi="Times New Roman" w:cs="Times New Roman"/>
          <w:sz w:val="24"/>
          <w:szCs w:val="24"/>
        </w:rPr>
        <w:t>Хрущевского</w:t>
      </w:r>
      <w:r w:rsidR="002D5C11" w:rsidRPr="002D5C11">
        <w:rPr>
          <w:rFonts w:ascii="Times New Roman" w:hAnsi="Times New Roman" w:cs="Times New Roman"/>
          <w:sz w:val="24"/>
          <w:szCs w:val="24"/>
        </w:rPr>
        <w:t xml:space="preserve"> </w:t>
      </w:r>
      <w:r w:rsidR="00231862" w:rsidRPr="00231862">
        <w:rPr>
          <w:rFonts w:ascii="Times New Roman" w:hAnsi="Times New Roman" w:cs="Times New Roman"/>
          <w:sz w:val="24"/>
          <w:szCs w:val="24"/>
        </w:rPr>
        <w:t>муниципального образования</w:t>
      </w:r>
      <w:r w:rsidR="00DA4A6C">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A51270" w:rsidRPr="00A51270">
        <w:rPr>
          <w:rFonts w:ascii="Times New Roman" w:hAnsi="Times New Roman" w:cs="Times New Roman"/>
          <w:sz w:val="24"/>
          <w:szCs w:val="24"/>
        </w:rPr>
        <w:t>Хрущевского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9241D9" w:rsidRPr="009241D9">
        <w:t xml:space="preserve"> </w:t>
      </w:r>
      <w:r w:rsidR="00A51270" w:rsidRPr="00A51270">
        <w:t>Хрущевского</w:t>
      </w:r>
      <w:r w:rsidR="00231862" w:rsidRPr="00231862">
        <w:t xml:space="preserve"> муниципального образования Самойловского муниципального района</w:t>
      </w:r>
      <w:r w:rsidR="00DA4A6C">
        <w:t xml:space="preserve">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822598"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D133D" w:rsidRPr="002334BB">
                <w:t>ГрК</w:t>
              </w:r>
              <w:proofErr w:type="spellEnd"/>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822598"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A51270" w:rsidRPr="00A51270">
              <w:t>Хрущевского</w:t>
            </w:r>
            <w:r w:rsidR="009241D9" w:rsidRPr="009241D9">
              <w:t xml:space="preserve"> </w:t>
            </w:r>
            <w:r w:rsidR="00DA4A6C">
              <w:t xml:space="preserve">муниципального образования, местные нормативы градостроительного проектирования </w:t>
            </w:r>
            <w:r w:rsidR="00A51270" w:rsidRPr="00A51270">
              <w:t>Хрущевского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A51270" w:rsidRPr="00A51270">
              <w:t>Хрущевского</w:t>
            </w:r>
            <w:r w:rsidR="00231862" w:rsidRPr="00231862">
              <w:t xml:space="preserve"> муниципального образования Самойловского муниципального района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9241D9">
              <w:rPr>
                <w:lang w:val="en-US"/>
              </w:rPr>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A51270" w:rsidRPr="00A51270">
        <w:t>Хрущевского</w:t>
      </w:r>
      <w:r w:rsidR="00231862" w:rsidRPr="00231862">
        <w:t xml:space="preserve"> муниципального образования Самойловского муниципального района</w:t>
      </w:r>
      <w:r w:rsidR="00DA4A6C">
        <w:t xml:space="preserve">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 xml:space="preserve">нные для хранения или </w:t>
      </w:r>
      <w:proofErr w:type="spellStart"/>
      <w:r w:rsidR="007635FD">
        <w:rPr>
          <w:lang w:eastAsia="en-US"/>
        </w:rPr>
        <w:t>паркирова</w:t>
      </w:r>
      <w:r>
        <w:rPr>
          <w:lang w:eastAsia="en-US"/>
        </w:rPr>
        <w:t>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A51270" w:rsidRPr="00A51270">
        <w:t>Хрущевского</w:t>
      </w:r>
      <w:r w:rsidR="00231862"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9241D9" w:rsidRPr="009241D9">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A51270" w:rsidP="007635FD">
      <w:pPr>
        <w:pStyle w:val="ab"/>
        <w:jc w:val="center"/>
        <w:rPr>
          <w:b/>
          <w:sz w:val="24"/>
          <w:szCs w:val="24"/>
        </w:rPr>
      </w:pPr>
      <w:r w:rsidRPr="00A51270">
        <w:rPr>
          <w:b/>
          <w:sz w:val="24"/>
          <w:szCs w:val="24"/>
        </w:rPr>
        <w:t>Хрущевского</w:t>
      </w:r>
      <w:r w:rsidR="00231862" w:rsidRPr="00231862">
        <w:rPr>
          <w:b/>
          <w:sz w:val="24"/>
          <w:szCs w:val="24"/>
        </w:rPr>
        <w:t xml:space="preserve"> муниципального образования </w:t>
      </w:r>
      <w:r w:rsidR="001B5DB8" w:rsidRPr="00190FFB">
        <w:rPr>
          <w:b/>
          <w:sz w:val="24"/>
          <w:szCs w:val="24"/>
        </w:rPr>
        <w:t>для установления совокупности расчетных</w:t>
      </w:r>
      <w:r w:rsidR="009241D9" w:rsidRPr="009241D9">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proofErr w:type="spellStart"/>
      <w:r w:rsidR="006F43F1">
        <w:t>ГрК</w:t>
      </w:r>
      <w:proofErr w:type="spellEnd"/>
      <w:r w:rsidR="006F43F1">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 xml:space="preserve">Определение перечня объектов местного значения поселения основывается на п. 4 ст. 29.2 </w:t>
      </w:r>
      <w:proofErr w:type="spellStart"/>
      <w:r w:rsidR="00224962" w:rsidRPr="00B81807">
        <w:t>ГрК</w:t>
      </w:r>
      <w:proofErr w:type="spellEnd"/>
      <w:r w:rsidR="00224962" w:rsidRPr="00B81807">
        <w:t xml:space="preserve">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 xml:space="preserve">1)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A51270" w:rsidRPr="00A51270">
        <w:t>Хрущевского</w:t>
      </w:r>
      <w:r w:rsidR="009136C1" w:rsidRPr="009136C1">
        <w:t xml:space="preserve"> муниципального образования </w:t>
      </w:r>
      <w:r w:rsidR="00224962" w:rsidRPr="00B81807">
        <w:t>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A51270" w:rsidRPr="00A51270">
        <w:t>Хрущевского</w:t>
      </w:r>
      <w:r w:rsidRPr="00B81807">
        <w:t xml:space="preserve"> муниципального образования.</w:t>
      </w:r>
    </w:p>
    <w:p w:rsidR="00224962" w:rsidRDefault="00E91778" w:rsidP="009136C1">
      <w:pPr>
        <w:spacing w:line="236" w:lineRule="auto"/>
        <w:ind w:right="200" w:firstLine="708"/>
        <w:jc w:val="both"/>
      </w:pPr>
      <w:r>
        <w:rPr>
          <w:lang w:eastAsia="en-US"/>
        </w:rPr>
        <w:t xml:space="preserve">1.16. </w:t>
      </w:r>
      <w:r w:rsidR="00224962">
        <w:t xml:space="preserve">В соответствии со ст. 3 Устава </w:t>
      </w:r>
      <w:r w:rsidR="00A51270" w:rsidRPr="00A51270">
        <w:t>Хрущевского</w:t>
      </w:r>
      <w:r w:rsidR="009136C1" w:rsidRPr="009136C1">
        <w:t xml:space="preserve"> муниципального образования</w:t>
      </w:r>
      <w:r w:rsidR="009136C1">
        <w:t>, принятого решением</w:t>
      </w:r>
      <w:r w:rsidR="009241D9" w:rsidRPr="009241D9">
        <w:t xml:space="preserve"> </w:t>
      </w:r>
      <w:r w:rsidR="009136C1">
        <w:t xml:space="preserve">сельского Совета </w:t>
      </w:r>
      <w:r w:rsidR="00A51270" w:rsidRPr="00A51270">
        <w:t>Хрущевского</w:t>
      </w:r>
      <w:r w:rsidR="009136C1">
        <w:t xml:space="preserve"> муниципального образования от </w:t>
      </w:r>
      <w:r w:rsidR="002D5C11" w:rsidRPr="002D5C11">
        <w:t>24 ноября 2005 г. № 7</w:t>
      </w:r>
      <w:r w:rsidR="00224962">
        <w:t>(с учетом изменений и дополнений</w:t>
      </w:r>
      <w:r w:rsidR="000A6FFE">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 xml:space="preserve">1) </w:t>
      </w:r>
      <w:r w:rsidR="0003334D" w:rsidRPr="0003334D">
        <w:rPr>
          <w:i/>
        </w:rPr>
        <w:t xml:space="preserve">составление и рассмотрение проекта бюджета поселения, утверждение и исполнение бюджета поселения, осуществление </w:t>
      </w:r>
      <w:proofErr w:type="gramStart"/>
      <w:r w:rsidR="0003334D" w:rsidRPr="0003334D">
        <w:rPr>
          <w:i/>
        </w:rPr>
        <w:t>контроля за</w:t>
      </w:r>
      <w:proofErr w:type="gramEnd"/>
      <w:r w:rsidR="0003334D" w:rsidRPr="0003334D">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03334D">
        <w:rPr>
          <w:i/>
        </w:rPr>
        <w:t>поселения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w:t>
      </w:r>
      <w:r w:rsidR="009241D9" w:rsidRPr="009241D9">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08543E">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9241D9" w:rsidRPr="009241D9">
        <w:rPr>
          <w:b/>
        </w:rPr>
        <w:t xml:space="preserve"> </w:t>
      </w:r>
      <w:r w:rsidR="00A51270" w:rsidRPr="00A51270">
        <w:rPr>
          <w:b/>
        </w:rPr>
        <w:t xml:space="preserve">Хрущевского </w:t>
      </w:r>
      <w:r>
        <w:rPr>
          <w:b/>
        </w:rPr>
        <w:t>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A51270" w:rsidRPr="00A51270">
        <w:t>Хрущевского</w:t>
      </w:r>
      <w:r w:rsidR="009241D9" w:rsidRPr="009241D9">
        <w:t xml:space="preserve"> </w:t>
      </w:r>
      <w:r w:rsidR="00DD0385" w:rsidRPr="002334BB">
        <w:t xml:space="preserve">муниципального образования </w:t>
      </w:r>
      <w:r w:rsidR="009136C1" w:rsidRPr="009136C1">
        <w:t>Самойловского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9241D9" w:rsidRPr="009241D9">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w:t>
      </w:r>
      <w:r w:rsidR="00F26BDD" w:rsidRPr="00F26BDD">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F26BDD" w:rsidRPr="00F26BDD">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F26BDD" w:rsidRPr="00F26BDD">
        <w:t xml:space="preserve"> </w:t>
      </w:r>
      <w:r w:rsidR="002334BB">
        <w:t>стандартов и сводов правил), в результате применения которых на обязательной</w:t>
      </w:r>
      <w:r w:rsidR="00F26BDD" w:rsidRPr="00F26BDD">
        <w:t xml:space="preserve"> </w:t>
      </w:r>
      <w:r w:rsidR="002334BB">
        <w:t>основе обеспечивается соблюдение требований федерального закона «Технический</w:t>
      </w:r>
      <w:r w:rsidR="00F26BDD" w:rsidRPr="00F26BDD">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F26BDD" w:rsidRPr="00F26BDD">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F26BDD" w:rsidRPr="00F26BDD">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F26BDD" w:rsidRPr="00F26BDD">
        <w:rPr>
          <w:b/>
        </w:rPr>
        <w:t xml:space="preserve"> </w:t>
      </w:r>
      <w:r>
        <w:rPr>
          <w:b/>
        </w:rPr>
        <w:t>нормативные</w:t>
      </w:r>
      <w:r w:rsidR="00F26BDD" w:rsidRPr="00F26BDD">
        <w:rPr>
          <w:b/>
        </w:rPr>
        <w:t xml:space="preserve"> </w:t>
      </w:r>
      <w:r>
        <w:rPr>
          <w:b/>
        </w:rPr>
        <w:t>правовые</w:t>
      </w:r>
      <w:r w:rsidR="00F26BDD" w:rsidRPr="00F26BDD">
        <w:rPr>
          <w:b/>
        </w:rPr>
        <w:t xml:space="preserve"> </w:t>
      </w:r>
      <w:r>
        <w:rPr>
          <w:b/>
        </w:rPr>
        <w:t>акты</w:t>
      </w:r>
      <w:r w:rsidR="00F26BDD" w:rsidRPr="00F26BDD">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5D77F9" w:rsidRDefault="005D77F9" w:rsidP="005D77F9">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sidR="00012CD5">
        <w:rPr>
          <w:lang w:eastAsia="en-US"/>
        </w:rPr>
        <w:t>Самойловского</w:t>
      </w:r>
      <w:r>
        <w:rPr>
          <w:lang w:eastAsia="en-US"/>
        </w:rPr>
        <w:t xml:space="preserve"> муниципального района»;</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w:t>
      </w:r>
      <w:r w:rsidR="005D77F9">
        <w:rPr>
          <w:lang w:eastAsia="en-US"/>
        </w:rPr>
        <w:t xml:space="preserve"> РНГП Саратовской области).</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A51270" w:rsidRPr="00A51270">
        <w:rPr>
          <w:b/>
          <w:lang w:eastAsia="en-US"/>
        </w:rPr>
        <w:t>Хрущевского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A51270" w:rsidRPr="00A51270">
        <w:t>Хрущевского</w:t>
      </w:r>
      <w:r w:rsidR="00F26BDD" w:rsidRPr="00A51270">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A51270" w:rsidRPr="00A51270">
        <w:t>Хрущевского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A51270" w:rsidRPr="00A51270">
        <w:rPr>
          <w:b/>
        </w:rPr>
        <w:t>Хрущевского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 xml:space="preserve">В области </w:t>
            </w:r>
            <w:proofErr w:type="spellStart"/>
            <w:r w:rsidRPr="00695898">
              <w:rPr>
                <w:rFonts w:ascii="Times New Roman" w:hAnsi="Times New Roman"/>
                <w:b/>
                <w:lang w:eastAsia="en-US"/>
              </w:rPr>
              <w:t>электро</w:t>
            </w:r>
            <w:proofErr w:type="spellEnd"/>
            <w:r w:rsidRPr="00695898">
              <w:rPr>
                <w:rFonts w:ascii="Times New Roman" w:hAnsi="Times New Roman"/>
                <w:b/>
                <w:lang w:eastAsia="en-US"/>
              </w:rPr>
              <w:t>-,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xml:space="preserve">, </w:t>
            </w:r>
            <w:proofErr w:type="spellStart"/>
            <w:r w:rsidRPr="00695898">
              <w:rPr>
                <w:rFonts w:ascii="Times New Roman" w:hAnsi="Times New Roman"/>
                <w:b/>
                <w:lang w:eastAsia="en-US"/>
              </w:rPr>
              <w:t>газо</w:t>
            </w:r>
            <w:proofErr w:type="spellEnd"/>
            <w:r w:rsidRPr="00695898">
              <w:rPr>
                <w:rFonts w:ascii="Times New Roman" w:hAnsi="Times New Roman"/>
                <w:b/>
                <w:lang w:eastAsia="en-US"/>
              </w:rPr>
              <w:t>-,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учреждение культурно - </w:t>
            </w:r>
            <w:proofErr w:type="spellStart"/>
            <w:r w:rsidRPr="00695898">
              <w:rPr>
                <w:rFonts w:ascii="Times New Roman" w:hAnsi="Times New Roman"/>
                <w:lang w:eastAsia="en-US"/>
              </w:rPr>
              <w:t>досугового</w:t>
            </w:r>
            <w:proofErr w:type="spellEnd"/>
            <w:r w:rsidRPr="00695898">
              <w:rPr>
                <w:rFonts w:ascii="Times New Roman" w:hAnsi="Times New Roman"/>
                <w:lang w:eastAsia="en-US"/>
              </w:rPr>
              <w:t xml:space="preserve">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A51270" w:rsidRPr="00A51270">
              <w:rPr>
                <w:rFonts w:ascii="Times New Roman" w:hAnsi="Times New Roman"/>
              </w:rPr>
              <w:t>Хрущевского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F26BDD" w:rsidRPr="00F26BDD">
        <w:rPr>
          <w:b/>
          <w:bCs/>
          <w:sz w:val="24"/>
          <w:szCs w:val="24"/>
        </w:rPr>
        <w:t xml:space="preserve"> </w:t>
      </w:r>
      <w:r w:rsidR="00A51270" w:rsidRPr="00A51270">
        <w:rPr>
          <w:b/>
          <w:bCs/>
          <w:sz w:val="24"/>
          <w:szCs w:val="24"/>
        </w:rPr>
        <w:t>Хрущевского</w:t>
      </w:r>
      <w:r w:rsidR="00DE586B">
        <w:rPr>
          <w:b/>
          <w:bCs/>
          <w:sz w:val="24"/>
          <w:szCs w:val="24"/>
        </w:rPr>
        <w:t xml:space="preserve"> муниципального образования </w:t>
      </w:r>
      <w:r w:rsidR="005D77F9" w:rsidRPr="005D77F9">
        <w:rPr>
          <w:b/>
          <w:bCs/>
          <w:sz w:val="24"/>
          <w:szCs w:val="24"/>
        </w:rPr>
        <w:t>Самойловского</w:t>
      </w:r>
      <w:r w:rsidR="00DE586B">
        <w:rPr>
          <w:b/>
          <w:bCs/>
          <w:sz w:val="24"/>
          <w:szCs w:val="24"/>
        </w:rPr>
        <w:t xml:space="preserve">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w:t>
      </w:r>
      <w:proofErr w:type="spellStart"/>
      <w:r w:rsidR="00DE586B" w:rsidRPr="00DE586B">
        <w:rPr>
          <w:rFonts w:ascii="Times New Roman" w:hAnsi="Times New Roman" w:cs="Times New Roman"/>
          <w:sz w:val="24"/>
          <w:szCs w:val="24"/>
        </w:rPr>
        <w:t>электро</w:t>
      </w:r>
      <w:proofErr w:type="spellEnd"/>
      <w:r w:rsidR="00DE586B" w:rsidRPr="00DE586B">
        <w:rPr>
          <w:rFonts w:ascii="Times New Roman" w:hAnsi="Times New Roman" w:cs="Times New Roman"/>
          <w:sz w:val="24"/>
          <w:szCs w:val="24"/>
        </w:rPr>
        <w:t>-,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xml:space="preserve">, </w:t>
      </w:r>
      <w:proofErr w:type="spellStart"/>
      <w:r w:rsidR="00DE586B" w:rsidRPr="00DE586B">
        <w:rPr>
          <w:rFonts w:ascii="Times New Roman" w:hAnsi="Times New Roman" w:cs="Times New Roman"/>
          <w:sz w:val="24"/>
          <w:szCs w:val="24"/>
        </w:rPr>
        <w:t>газо</w:t>
      </w:r>
      <w:proofErr w:type="spellEnd"/>
      <w:r w:rsidR="00DE586B" w:rsidRPr="00DE586B">
        <w:rPr>
          <w:rFonts w:ascii="Times New Roman" w:hAnsi="Times New Roman" w:cs="Times New Roman"/>
          <w:sz w:val="24"/>
          <w:szCs w:val="24"/>
        </w:rPr>
        <w:t>-,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w:t>
            </w:r>
            <w:proofErr w:type="spellStart"/>
            <w:proofErr w:type="gramStart"/>
            <w:r w:rsidR="002971A4">
              <w:rPr>
                <w:b/>
                <w:sz w:val="22"/>
                <w:szCs w:val="22"/>
              </w:rPr>
              <w:t>п</w:t>
            </w:r>
            <w:proofErr w:type="spellEnd"/>
            <w:proofErr w:type="gramEnd"/>
            <w:r w:rsidR="002971A4">
              <w:rPr>
                <w:b/>
                <w:sz w:val="22"/>
                <w:szCs w:val="22"/>
              </w:rPr>
              <w:t>/</w:t>
            </w:r>
            <w:proofErr w:type="spellStart"/>
            <w:r w:rsidR="002971A4">
              <w:rPr>
                <w:b/>
                <w:sz w:val="22"/>
                <w:szCs w:val="22"/>
              </w:rPr>
              <w:t>п</w:t>
            </w:r>
            <w:proofErr w:type="spellEnd"/>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F26BDD" w:rsidRPr="00F26BDD">
        <w:rPr>
          <w:i/>
        </w:rPr>
        <w:t xml:space="preserve"> </w:t>
      </w:r>
      <w:r w:rsidR="000A18A7" w:rsidRPr="000A18A7">
        <w:rPr>
          <w:i/>
        </w:rPr>
        <w:t>уровня обеспеченности объектами, следует использовать норму минимальной обеспеченности</w:t>
      </w:r>
      <w:r w:rsidR="00F26BDD" w:rsidRPr="00F26BDD">
        <w:rPr>
          <w:i/>
        </w:rPr>
        <w:t xml:space="preserve"> </w:t>
      </w:r>
      <w:r w:rsidR="000A18A7" w:rsidRPr="000A18A7">
        <w:rPr>
          <w:i/>
        </w:rPr>
        <w:t>населения (территории) соответствующим ресурсом и характеристики планируемых к</w:t>
      </w:r>
      <w:r w:rsidR="00F26BDD" w:rsidRPr="00F26BDD">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F26BDD" w:rsidRPr="00F26BDD">
        <w:rPr>
          <w:i/>
        </w:rPr>
        <w:t xml:space="preserve"> </w:t>
      </w:r>
      <w:r w:rsidR="000A18A7" w:rsidRPr="000A18A7">
        <w:rPr>
          <w:i/>
        </w:rPr>
        <w:t>проектирования в качестве укрупнённых показателей расхода (потребления) газа при расчётной</w:t>
      </w:r>
      <w:r w:rsidR="00F26BDD" w:rsidRPr="00F26BDD">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F26BDD" w:rsidRPr="00F26BDD">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w:t>
            </w:r>
            <w:proofErr w:type="spellStart"/>
            <w:proofErr w:type="gramStart"/>
            <w:r w:rsidR="00444456" w:rsidRPr="00444456">
              <w:rPr>
                <w:b/>
                <w:color w:val="000000"/>
              </w:rPr>
              <w:t>п</w:t>
            </w:r>
            <w:proofErr w:type="spellEnd"/>
            <w:proofErr w:type="gramEnd"/>
            <w:r w:rsidR="00444456" w:rsidRPr="00444456">
              <w:rPr>
                <w:b/>
                <w:color w:val="000000"/>
              </w:rPr>
              <w:t>/</w:t>
            </w:r>
            <w:proofErr w:type="spellStart"/>
            <w:r w:rsidR="00444456" w:rsidRPr="00444456">
              <w:rPr>
                <w:b/>
                <w:color w:val="000000"/>
              </w:rPr>
              <w:t>п</w:t>
            </w:r>
            <w:proofErr w:type="spellEnd"/>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F26BDD" w:rsidRPr="00F26BDD">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F26BDD" w:rsidRPr="00F26BDD">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0813CB" w:rsidP="00A51270">
            <w:pPr>
              <w:jc w:val="center"/>
              <w:rPr>
                <w:lang w:eastAsia="en-US"/>
              </w:rPr>
            </w:pPr>
            <w:r w:rsidRPr="000813CB">
              <w:rPr>
                <w:bCs/>
              </w:rPr>
              <w:t xml:space="preserve">с. </w:t>
            </w:r>
            <w:proofErr w:type="spellStart"/>
            <w:r w:rsidR="00A51270">
              <w:rPr>
                <w:bCs/>
              </w:rPr>
              <w:t>Хрущевка</w:t>
            </w:r>
            <w:proofErr w:type="spellEnd"/>
            <w:r w:rsidR="00A51270">
              <w:rPr>
                <w:bCs/>
              </w:rPr>
              <w:t xml:space="preserve">, с. </w:t>
            </w:r>
            <w:r w:rsidR="00A51270" w:rsidRPr="00A51270">
              <w:rPr>
                <w:bCs/>
              </w:rPr>
              <w:t>Голицыно</w:t>
            </w:r>
            <w:r w:rsidR="00A51270">
              <w:rPr>
                <w:bCs/>
              </w:rPr>
              <w:t xml:space="preserve">, п. </w:t>
            </w:r>
            <w:r w:rsidR="00A51270" w:rsidRPr="00A51270">
              <w:rPr>
                <w:bCs/>
              </w:rPr>
              <w:t>Кириков</w:t>
            </w:r>
            <w:r w:rsidR="00A51270">
              <w:rPr>
                <w:bCs/>
              </w:rPr>
              <w:t xml:space="preserve">, п. </w:t>
            </w:r>
            <w:proofErr w:type="spellStart"/>
            <w:r w:rsidR="00A51270" w:rsidRPr="00A51270">
              <w:rPr>
                <w:bCs/>
              </w:rPr>
              <w:t>Новосамойловский</w:t>
            </w:r>
            <w:proofErr w:type="spellEnd"/>
            <w:r w:rsidR="00A51270">
              <w:rPr>
                <w:bCs/>
              </w:rPr>
              <w:t xml:space="preserve">, п. </w:t>
            </w:r>
            <w:r w:rsidR="00A51270" w:rsidRPr="00A51270">
              <w:rPr>
                <w:bCs/>
              </w:rPr>
              <w:t>Садовый</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A51270" w:rsidP="00F26BDD">
            <w:pPr>
              <w:jc w:val="center"/>
              <w:rPr>
                <w:lang w:eastAsia="en-US"/>
              </w:rPr>
            </w:pPr>
            <w:r>
              <w:t>Хрущевское</w:t>
            </w:r>
            <w:r w:rsidR="00F26BDD">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A51270" w:rsidRPr="00F07A63" w:rsidTr="000D0FAA">
        <w:trPr>
          <w:trHeight w:val="1119"/>
        </w:trPr>
        <w:tc>
          <w:tcPr>
            <w:tcW w:w="712" w:type="dxa"/>
            <w:vAlign w:val="center"/>
          </w:tcPr>
          <w:p w:rsidR="00A51270" w:rsidRPr="00846A6E" w:rsidRDefault="00A51270" w:rsidP="00E20070">
            <w:pPr>
              <w:jc w:val="center"/>
            </w:pPr>
            <w:r w:rsidRPr="00846A6E">
              <w:t>1</w:t>
            </w:r>
          </w:p>
        </w:tc>
        <w:tc>
          <w:tcPr>
            <w:tcW w:w="2177" w:type="dxa"/>
          </w:tcPr>
          <w:p w:rsidR="00A51270" w:rsidRPr="009C1A1F" w:rsidRDefault="00A51270"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A51270" w:rsidRPr="00042C07" w:rsidRDefault="00A51270" w:rsidP="00E20070">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A51270" w:rsidRPr="009C1A1F" w:rsidRDefault="00A51270" w:rsidP="00E20070">
            <w:pPr>
              <w:jc w:val="center"/>
            </w:pPr>
            <w:r>
              <w:rPr>
                <w:sz w:val="22"/>
              </w:rPr>
              <w:t>1950</w:t>
            </w:r>
          </w:p>
        </w:tc>
        <w:tc>
          <w:tcPr>
            <w:tcW w:w="2339" w:type="dxa"/>
            <w:vAlign w:val="center"/>
          </w:tcPr>
          <w:p w:rsidR="00A51270" w:rsidRPr="009F212B" w:rsidRDefault="00A51270"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A51270" w:rsidRPr="009F212B" w:rsidRDefault="00A51270" w:rsidP="00022249">
            <w:pPr>
              <w:jc w:val="center"/>
            </w:pPr>
            <w:r>
              <w:t xml:space="preserve">Не более 30 </w:t>
            </w:r>
          </w:p>
        </w:tc>
        <w:tc>
          <w:tcPr>
            <w:tcW w:w="2578" w:type="dxa"/>
          </w:tcPr>
          <w:p w:rsidR="00A51270" w:rsidRPr="00A01F25" w:rsidRDefault="00A51270" w:rsidP="00A51270">
            <w:pPr>
              <w:jc w:val="center"/>
              <w:rPr>
                <w:lang w:eastAsia="en-US"/>
              </w:rPr>
            </w:pPr>
            <w:r w:rsidRPr="000813CB">
              <w:rPr>
                <w:bCs/>
              </w:rPr>
              <w:t xml:space="preserve">с. </w:t>
            </w:r>
            <w:proofErr w:type="spellStart"/>
            <w:r>
              <w:rPr>
                <w:bCs/>
              </w:rPr>
              <w:t>Хрущевка</w:t>
            </w:r>
            <w:proofErr w:type="spellEnd"/>
            <w:r>
              <w:rPr>
                <w:bCs/>
              </w:rPr>
              <w:t xml:space="preserve">, с. </w:t>
            </w:r>
            <w:r w:rsidRPr="00A51270">
              <w:rPr>
                <w:bCs/>
              </w:rPr>
              <w:t>Голицыно</w:t>
            </w:r>
            <w:r>
              <w:rPr>
                <w:bCs/>
              </w:rPr>
              <w:t xml:space="preserve">, п. </w:t>
            </w:r>
            <w:r w:rsidRPr="00A51270">
              <w:rPr>
                <w:bCs/>
              </w:rPr>
              <w:t>Кириков</w:t>
            </w:r>
            <w:r>
              <w:rPr>
                <w:bCs/>
              </w:rPr>
              <w:t xml:space="preserve">, п. </w:t>
            </w:r>
            <w:proofErr w:type="spellStart"/>
            <w:r w:rsidRPr="00A51270">
              <w:rPr>
                <w:bCs/>
              </w:rPr>
              <w:t>Новосамойловский</w:t>
            </w:r>
            <w:proofErr w:type="spellEnd"/>
            <w:r>
              <w:rPr>
                <w:bCs/>
              </w:rPr>
              <w:t xml:space="preserve">, п. </w:t>
            </w:r>
            <w:r w:rsidRPr="00A51270">
              <w:rPr>
                <w:bCs/>
              </w:rPr>
              <w:t>Садовый</w:t>
            </w:r>
          </w:p>
        </w:tc>
      </w:tr>
      <w:tr w:rsidR="00A51270" w:rsidRPr="00F07A63" w:rsidTr="000D0FAA">
        <w:trPr>
          <w:trHeight w:val="1020"/>
        </w:trPr>
        <w:tc>
          <w:tcPr>
            <w:tcW w:w="712" w:type="dxa"/>
            <w:vAlign w:val="center"/>
          </w:tcPr>
          <w:p w:rsidR="00A51270" w:rsidRPr="00846A6E" w:rsidRDefault="00A51270" w:rsidP="00484694">
            <w:pPr>
              <w:jc w:val="center"/>
            </w:pPr>
            <w:r>
              <w:t>2</w:t>
            </w:r>
          </w:p>
        </w:tc>
        <w:tc>
          <w:tcPr>
            <w:tcW w:w="2177" w:type="dxa"/>
          </w:tcPr>
          <w:p w:rsidR="00A51270" w:rsidRPr="009C1A1F" w:rsidRDefault="00A51270"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A51270" w:rsidRPr="009C1A1F" w:rsidRDefault="00A51270"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A51270" w:rsidRPr="009C1A1F" w:rsidRDefault="00A51270" w:rsidP="00484694">
            <w:pPr>
              <w:jc w:val="center"/>
            </w:pPr>
            <w:r>
              <w:rPr>
                <w:sz w:val="22"/>
              </w:rPr>
              <w:t>70</w:t>
            </w:r>
          </w:p>
        </w:tc>
        <w:tc>
          <w:tcPr>
            <w:tcW w:w="2339" w:type="dxa"/>
            <w:vAlign w:val="center"/>
          </w:tcPr>
          <w:p w:rsidR="00A51270" w:rsidRPr="009F212B" w:rsidRDefault="00A51270"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A51270" w:rsidRPr="009F212B" w:rsidRDefault="00A51270" w:rsidP="009136C1">
            <w:pPr>
              <w:jc w:val="center"/>
            </w:pPr>
            <w:r>
              <w:t xml:space="preserve">Не более 30 </w:t>
            </w:r>
          </w:p>
        </w:tc>
        <w:tc>
          <w:tcPr>
            <w:tcW w:w="2578" w:type="dxa"/>
          </w:tcPr>
          <w:p w:rsidR="00A51270" w:rsidRPr="00A01F25" w:rsidRDefault="00A51270" w:rsidP="00A51270">
            <w:pPr>
              <w:jc w:val="center"/>
              <w:rPr>
                <w:lang w:eastAsia="en-US"/>
              </w:rPr>
            </w:pPr>
            <w:r w:rsidRPr="000813CB">
              <w:rPr>
                <w:bCs/>
              </w:rPr>
              <w:t xml:space="preserve">с. </w:t>
            </w:r>
            <w:proofErr w:type="spellStart"/>
            <w:r>
              <w:rPr>
                <w:bCs/>
              </w:rPr>
              <w:t>Хрущевка</w:t>
            </w:r>
            <w:proofErr w:type="spellEnd"/>
            <w:r>
              <w:rPr>
                <w:bCs/>
              </w:rPr>
              <w:t xml:space="preserve">, с. </w:t>
            </w:r>
            <w:r w:rsidRPr="00A51270">
              <w:rPr>
                <w:bCs/>
              </w:rPr>
              <w:t>Голицыно</w:t>
            </w:r>
            <w:r>
              <w:rPr>
                <w:bCs/>
              </w:rPr>
              <w:t xml:space="preserve">, п. </w:t>
            </w:r>
            <w:r w:rsidRPr="00A51270">
              <w:rPr>
                <w:bCs/>
              </w:rPr>
              <w:t>Кириков</w:t>
            </w:r>
            <w:r>
              <w:rPr>
                <w:bCs/>
              </w:rPr>
              <w:t xml:space="preserve">, п. </w:t>
            </w:r>
            <w:proofErr w:type="spellStart"/>
            <w:r w:rsidRPr="00A51270">
              <w:rPr>
                <w:bCs/>
              </w:rPr>
              <w:t>Новосамойловский</w:t>
            </w:r>
            <w:proofErr w:type="spellEnd"/>
            <w:r>
              <w:rPr>
                <w:bCs/>
              </w:rPr>
              <w:t xml:space="preserve">, п. </w:t>
            </w:r>
            <w:r w:rsidRPr="00A51270">
              <w:rPr>
                <w:bCs/>
              </w:rPr>
              <w:t>Садовый</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A51270" w:rsidRPr="009C3663" w:rsidTr="006B5683">
        <w:trPr>
          <w:jc w:val="center"/>
        </w:trPr>
        <w:tc>
          <w:tcPr>
            <w:tcW w:w="614" w:type="dxa"/>
          </w:tcPr>
          <w:p w:rsidR="00A51270" w:rsidRPr="006B5683" w:rsidRDefault="00A51270" w:rsidP="006B5683">
            <w:pPr>
              <w:tabs>
                <w:tab w:val="left" w:pos="664"/>
                <w:tab w:val="center" w:pos="1930"/>
              </w:tabs>
              <w:rPr>
                <w:lang w:eastAsia="en-US"/>
              </w:rPr>
            </w:pPr>
            <w:r>
              <w:rPr>
                <w:lang w:eastAsia="en-US"/>
              </w:rPr>
              <w:t xml:space="preserve">  1</w:t>
            </w:r>
          </w:p>
        </w:tc>
        <w:tc>
          <w:tcPr>
            <w:tcW w:w="2692" w:type="dxa"/>
          </w:tcPr>
          <w:p w:rsidR="00A51270" w:rsidRPr="006B5683" w:rsidRDefault="00A51270"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A51270" w:rsidRPr="009C3663" w:rsidRDefault="00A51270" w:rsidP="00484694">
            <w:pPr>
              <w:spacing w:after="200" w:line="276" w:lineRule="auto"/>
              <w:jc w:val="center"/>
              <w:rPr>
                <w:lang w:eastAsia="en-US"/>
              </w:rPr>
            </w:pPr>
            <w:r>
              <w:rPr>
                <w:lang w:eastAsia="en-US"/>
              </w:rPr>
              <w:t>1 объект для поселения до 10 тыс. чел.</w:t>
            </w:r>
          </w:p>
        </w:tc>
        <w:tc>
          <w:tcPr>
            <w:tcW w:w="3260" w:type="dxa"/>
          </w:tcPr>
          <w:p w:rsidR="00A51270" w:rsidRPr="009C3663" w:rsidRDefault="00A51270" w:rsidP="00796502">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A51270" w:rsidRPr="00A01F25" w:rsidRDefault="00A51270" w:rsidP="00A51270">
            <w:pPr>
              <w:jc w:val="center"/>
              <w:rPr>
                <w:lang w:eastAsia="en-US"/>
              </w:rPr>
            </w:pPr>
            <w:r>
              <w:t>Хрущевское муниципальное образование</w:t>
            </w:r>
          </w:p>
        </w:tc>
      </w:tr>
      <w:tr w:rsidR="00A51270" w:rsidRPr="009C3663" w:rsidTr="006B5683">
        <w:trPr>
          <w:jc w:val="center"/>
        </w:trPr>
        <w:tc>
          <w:tcPr>
            <w:tcW w:w="614" w:type="dxa"/>
          </w:tcPr>
          <w:p w:rsidR="00A51270" w:rsidRDefault="00A51270" w:rsidP="00484694">
            <w:pPr>
              <w:jc w:val="center"/>
              <w:rPr>
                <w:lang w:eastAsia="en-US"/>
              </w:rPr>
            </w:pPr>
            <w:r>
              <w:rPr>
                <w:lang w:eastAsia="en-US"/>
              </w:rPr>
              <w:t>2</w:t>
            </w:r>
          </w:p>
        </w:tc>
        <w:tc>
          <w:tcPr>
            <w:tcW w:w="2692" w:type="dxa"/>
          </w:tcPr>
          <w:p w:rsidR="00A51270" w:rsidRPr="00796502" w:rsidRDefault="00A51270" w:rsidP="00484694">
            <w:pPr>
              <w:jc w:val="center"/>
              <w:rPr>
                <w:lang w:eastAsia="en-US"/>
              </w:rPr>
            </w:pPr>
            <w:r w:rsidRPr="00796502">
              <w:rPr>
                <w:lang w:eastAsia="en-US"/>
              </w:rPr>
              <w:t>Муниципальная библиотека</w:t>
            </w:r>
          </w:p>
        </w:tc>
        <w:tc>
          <w:tcPr>
            <w:tcW w:w="3686" w:type="dxa"/>
          </w:tcPr>
          <w:p w:rsidR="00A51270" w:rsidRDefault="00A51270"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A51270" w:rsidRDefault="00A51270"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A51270" w:rsidRDefault="00A51270" w:rsidP="00484694">
            <w:pPr>
              <w:spacing w:after="200" w:line="276" w:lineRule="auto"/>
              <w:jc w:val="center"/>
              <w:rPr>
                <w:lang w:eastAsia="en-US"/>
              </w:rPr>
            </w:pPr>
          </w:p>
        </w:tc>
        <w:tc>
          <w:tcPr>
            <w:tcW w:w="3260" w:type="dxa"/>
          </w:tcPr>
          <w:p w:rsidR="00A51270" w:rsidRPr="009C3663" w:rsidRDefault="00A51270"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A51270" w:rsidRPr="00A01F25" w:rsidRDefault="00A51270" w:rsidP="00A51270">
            <w:pPr>
              <w:jc w:val="center"/>
              <w:rPr>
                <w:lang w:eastAsia="en-US"/>
              </w:rPr>
            </w:pPr>
            <w:r>
              <w:t>Хрущевское муниципальное образование</w:t>
            </w:r>
          </w:p>
        </w:tc>
      </w:tr>
      <w:tr w:rsidR="00F452C3" w:rsidRPr="009C3663" w:rsidTr="006B5683">
        <w:trPr>
          <w:jc w:val="center"/>
        </w:trPr>
        <w:tc>
          <w:tcPr>
            <w:tcW w:w="614" w:type="dxa"/>
          </w:tcPr>
          <w:p w:rsidR="00F452C3" w:rsidRDefault="00F452C3" w:rsidP="00484694">
            <w:pPr>
              <w:jc w:val="center"/>
              <w:rPr>
                <w:lang w:eastAsia="en-US"/>
              </w:rPr>
            </w:pPr>
            <w:r>
              <w:rPr>
                <w:lang w:eastAsia="en-US"/>
              </w:rPr>
              <w:lastRenderedPageBreak/>
              <w:t>3</w:t>
            </w:r>
          </w:p>
        </w:tc>
        <w:tc>
          <w:tcPr>
            <w:tcW w:w="2692" w:type="dxa"/>
          </w:tcPr>
          <w:p w:rsidR="00F452C3" w:rsidRPr="00796502" w:rsidRDefault="00F452C3" w:rsidP="00484694">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F452C3" w:rsidRPr="00796502" w:rsidRDefault="00F452C3"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F452C3" w:rsidRPr="00796502" w:rsidRDefault="00F452C3"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F452C3" w:rsidRPr="009C3663" w:rsidRDefault="00F452C3" w:rsidP="00484694">
            <w:pPr>
              <w:spacing w:after="200" w:line="276" w:lineRule="auto"/>
              <w:jc w:val="center"/>
              <w:rPr>
                <w:lang w:eastAsia="en-US"/>
              </w:rPr>
            </w:pPr>
          </w:p>
        </w:tc>
        <w:tc>
          <w:tcPr>
            <w:tcW w:w="3260" w:type="dxa"/>
          </w:tcPr>
          <w:p w:rsidR="00F452C3" w:rsidRPr="009C3663" w:rsidRDefault="00F452C3"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F452C3" w:rsidRPr="00A01F25" w:rsidRDefault="00F452C3" w:rsidP="00C21521">
            <w:pPr>
              <w:jc w:val="center"/>
              <w:rPr>
                <w:lang w:eastAsia="en-US"/>
              </w:rPr>
            </w:pPr>
            <w:r>
              <w:t>Хрущевское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F452C3">
            <w:pPr>
              <w:jc w:val="center"/>
            </w:pPr>
            <w:r>
              <w:rPr>
                <w:sz w:val="22"/>
              </w:rPr>
              <w:t xml:space="preserve">Помещения Администрации </w:t>
            </w:r>
            <w:r w:rsidR="00F452C3">
              <w:rPr>
                <w:sz w:val="22"/>
              </w:rPr>
              <w:t xml:space="preserve">Хрущевского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12CD5" w:rsidP="00484694">
            <w:pPr>
              <w:widowControl w:val="0"/>
              <w:autoSpaceDE w:val="0"/>
              <w:autoSpaceDN w:val="0"/>
              <w:adjustRightInd w:val="0"/>
              <w:contextualSpacing/>
              <w:jc w:val="center"/>
            </w:pPr>
            <w:r>
              <w:rPr>
                <w:sz w:val="22"/>
                <w:szCs w:val="22"/>
              </w:rPr>
              <w:t>не нормируется</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r w:rsidR="00670DFC">
              <w:rPr>
                <w:sz w:val="22"/>
              </w:rPr>
              <w:t xml:space="preserve"> (рекомендуемая)</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F452C3" w:rsidRPr="009C3663" w:rsidTr="003C5D01">
        <w:tc>
          <w:tcPr>
            <w:tcW w:w="4077" w:type="dxa"/>
          </w:tcPr>
          <w:p w:rsidR="00F452C3" w:rsidRPr="004A146E" w:rsidRDefault="00F452C3" w:rsidP="003C5D01">
            <w:pPr>
              <w:spacing w:before="100" w:after="100"/>
              <w:jc w:val="center"/>
              <w:rPr>
                <w:lang w:eastAsia="en-US"/>
              </w:rPr>
            </w:pPr>
            <w:r w:rsidRPr="004A146E">
              <w:rPr>
                <w:lang w:eastAsia="en-US"/>
              </w:rPr>
              <w:t>Бюро похоронного обслуживания</w:t>
            </w:r>
          </w:p>
        </w:tc>
        <w:tc>
          <w:tcPr>
            <w:tcW w:w="3686" w:type="dxa"/>
          </w:tcPr>
          <w:p w:rsidR="00F452C3" w:rsidRDefault="00F452C3" w:rsidP="003C5D01">
            <w:pPr>
              <w:spacing w:after="200" w:line="276" w:lineRule="auto"/>
              <w:jc w:val="center"/>
              <w:rPr>
                <w:lang w:eastAsia="en-US"/>
              </w:rPr>
            </w:pPr>
            <w:r>
              <w:rPr>
                <w:lang w:eastAsia="en-US"/>
              </w:rPr>
              <w:t>1 объект на поселение</w:t>
            </w:r>
          </w:p>
        </w:tc>
        <w:tc>
          <w:tcPr>
            <w:tcW w:w="3260" w:type="dxa"/>
          </w:tcPr>
          <w:p w:rsidR="00F452C3" w:rsidRPr="009C3663" w:rsidRDefault="00F452C3"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F452C3" w:rsidRPr="00A01F25" w:rsidRDefault="00F452C3" w:rsidP="00C21521">
            <w:pPr>
              <w:jc w:val="center"/>
              <w:rPr>
                <w:lang w:eastAsia="en-US"/>
              </w:rPr>
            </w:pPr>
            <w:r>
              <w:t>Хрущевское муниципальное образование</w:t>
            </w:r>
          </w:p>
        </w:tc>
      </w:tr>
      <w:tr w:rsidR="00F452C3" w:rsidRPr="009C3663" w:rsidTr="003C5D01">
        <w:tc>
          <w:tcPr>
            <w:tcW w:w="4077" w:type="dxa"/>
          </w:tcPr>
          <w:p w:rsidR="00F452C3" w:rsidRPr="004A146E" w:rsidRDefault="00F452C3" w:rsidP="003C5D01">
            <w:pPr>
              <w:spacing w:before="100" w:after="100"/>
              <w:jc w:val="center"/>
              <w:rPr>
                <w:lang w:eastAsia="en-US"/>
              </w:rPr>
            </w:pPr>
            <w:r w:rsidRPr="004A146E">
              <w:rPr>
                <w:lang w:eastAsia="en-US"/>
              </w:rPr>
              <w:t>Кладбища</w:t>
            </w:r>
          </w:p>
        </w:tc>
        <w:tc>
          <w:tcPr>
            <w:tcW w:w="3686" w:type="dxa"/>
          </w:tcPr>
          <w:p w:rsidR="00F452C3" w:rsidRPr="00A010B4" w:rsidRDefault="00F452C3"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F452C3" w:rsidRPr="009C3663" w:rsidRDefault="00F452C3"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F452C3" w:rsidRPr="00A01F25" w:rsidRDefault="00F452C3" w:rsidP="00C21521">
            <w:pPr>
              <w:jc w:val="center"/>
              <w:rPr>
                <w:lang w:eastAsia="en-US"/>
              </w:rPr>
            </w:pPr>
            <w:r>
              <w:t>Хрущевское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70DFC"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F452C3">
              <w:rPr>
                <w:rFonts w:ascii="Times New Roman" w:hAnsi="Times New Roman" w:cs="Times New Roman"/>
              </w:rPr>
              <w:t xml:space="preserve">Хрущевского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670DFC" w:rsidP="006A1099">
            <w:pPr>
              <w:jc w:val="center"/>
              <w:rPr>
                <w:rFonts w:ascii="Times New Roman" w:hAnsi="Times New Roman" w:cs="Times New Roman"/>
              </w:rPr>
            </w:pPr>
            <w:r>
              <w:rPr>
                <w:rFonts w:ascii="Times New Roman" w:hAnsi="Times New Roman" w:cs="Times New Roman"/>
              </w:rPr>
              <w:t>м</w:t>
            </w:r>
            <w:proofErr w:type="gramStart"/>
            <w:r w:rsidR="00B86178" w:rsidRPr="00B86178">
              <w:rPr>
                <w:rFonts w:ascii="Times New Roman" w:hAnsi="Times New Roman" w:cs="Times New Roman"/>
                <w:vertAlign w:val="superscript"/>
              </w:rPr>
              <w:t>2</w:t>
            </w:r>
            <w:proofErr w:type="gramEnd"/>
            <w:r w:rsidR="00B86178">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w:t>
      </w:r>
      <w:proofErr w:type="gramStart"/>
      <w:r w:rsidRPr="00DD08CD">
        <w:rPr>
          <w:b/>
          <w:spacing w:val="-6"/>
        </w:rPr>
        <w:t>об</w:t>
      </w:r>
      <w:proofErr w:type="gramEnd"/>
      <w:r w:rsidRPr="00DD08CD">
        <w:rPr>
          <w:b/>
          <w:spacing w:val="-6"/>
        </w:rPr>
        <w:t xml:space="preserve"> </w:t>
      </w:r>
      <w:r w:rsidR="00F452C3">
        <w:rPr>
          <w:b/>
          <w:spacing w:val="-6"/>
        </w:rPr>
        <w:t>Хрущевском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0333AC" w:rsidRDefault="00B86178" w:rsidP="007B3362">
      <w:pPr>
        <w:ind w:firstLine="708"/>
        <w:jc w:val="both"/>
        <w:rPr>
          <w:spacing w:val="-6"/>
        </w:rPr>
      </w:pPr>
      <w:r>
        <w:rPr>
          <w:spacing w:val="-6"/>
        </w:rPr>
        <w:t xml:space="preserve">3.1. </w:t>
      </w:r>
      <w:r w:rsidR="00F452C3">
        <w:rPr>
          <w:spacing w:val="-6"/>
        </w:rPr>
        <w:t>Хрущевское</w:t>
      </w:r>
      <w:r w:rsidRPr="00DD08CD">
        <w:rPr>
          <w:spacing w:val="-6"/>
        </w:rPr>
        <w:t xml:space="preserve"> муниципальное образование — сельское поселение в </w:t>
      </w:r>
      <w:proofErr w:type="spellStart"/>
      <w:r w:rsidR="007B3362" w:rsidRPr="007B3362">
        <w:rPr>
          <w:spacing w:val="-6"/>
        </w:rPr>
        <w:t>Самойловско</w:t>
      </w:r>
      <w:r w:rsidR="007B3362">
        <w:rPr>
          <w:spacing w:val="-6"/>
        </w:rPr>
        <w:t>м</w:t>
      </w:r>
      <w:proofErr w:type="spellEnd"/>
      <w:r w:rsidR="00F26BDD">
        <w:rPr>
          <w:spacing w:val="-6"/>
        </w:rPr>
        <w:t xml:space="preserve"> </w:t>
      </w:r>
      <w:r w:rsidRPr="00DD08CD">
        <w:rPr>
          <w:spacing w:val="-6"/>
        </w:rPr>
        <w:t xml:space="preserve">районе Саратовской области. </w:t>
      </w:r>
      <w:r w:rsidR="000333AC" w:rsidRPr="000333AC">
        <w:rPr>
          <w:spacing w:val="-6"/>
        </w:rPr>
        <w:t xml:space="preserve">Площадь муниципального образования- </w:t>
      </w:r>
      <w:r w:rsidR="00F452C3" w:rsidRPr="00F452C3">
        <w:rPr>
          <w:spacing w:val="-6"/>
        </w:rPr>
        <w:t>39653 га.</w:t>
      </w:r>
    </w:p>
    <w:p w:rsidR="00B86178" w:rsidRDefault="00B86178" w:rsidP="007B3362">
      <w:pPr>
        <w:ind w:firstLine="708"/>
        <w:jc w:val="both"/>
        <w:rPr>
          <w:bCs/>
        </w:rPr>
      </w:pPr>
      <w:r>
        <w:rPr>
          <w:bCs/>
        </w:rPr>
        <w:t xml:space="preserve">3.2. </w:t>
      </w:r>
      <w:r w:rsidRPr="0049706F">
        <w:rPr>
          <w:bCs/>
        </w:rPr>
        <w:t xml:space="preserve">Пространственная организация территории </w:t>
      </w:r>
      <w:r w:rsidR="00F452C3">
        <w:rPr>
          <w:bCs/>
        </w:rPr>
        <w:t>Хрущевского</w:t>
      </w:r>
      <w:r w:rsidR="00F26BDD">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007B3362" w:rsidRPr="007B3362">
        <w:rPr>
          <w:bCs/>
        </w:rPr>
        <w:t xml:space="preserve">Законом Саратовской области 29 декабря 2004 г. №116-ЗСО «О муниципальных образованиях, входящих в состав </w:t>
      </w:r>
      <w:r w:rsidR="00012CD5">
        <w:rPr>
          <w:bCs/>
        </w:rPr>
        <w:t>Самойловского</w:t>
      </w:r>
      <w:r w:rsidR="007B3362" w:rsidRPr="007B3362">
        <w:rPr>
          <w:bCs/>
        </w:rPr>
        <w:t xml:space="preserve"> муниципального района»</w:t>
      </w:r>
      <w:r w:rsidR="007B3362">
        <w:rPr>
          <w:bCs/>
        </w:rPr>
        <w:t>.</w:t>
      </w:r>
    </w:p>
    <w:p w:rsidR="00B86178" w:rsidRPr="00DD08CD" w:rsidRDefault="00B86178" w:rsidP="00B86178">
      <w:pPr>
        <w:autoSpaceDE w:val="0"/>
        <w:autoSpaceDN w:val="0"/>
        <w:adjustRightInd w:val="0"/>
        <w:ind w:firstLine="567"/>
        <w:jc w:val="both"/>
        <w:rPr>
          <w:bCs/>
        </w:rPr>
      </w:pPr>
      <w:r>
        <w:rPr>
          <w:bCs/>
        </w:rPr>
        <w:t xml:space="preserve"> 3.3. </w:t>
      </w:r>
      <w:r w:rsidR="00F452C3" w:rsidRPr="00F452C3">
        <w:rPr>
          <w:bCs/>
        </w:rPr>
        <w:t>Хрущевское</w:t>
      </w:r>
      <w:r w:rsidRPr="00DD08CD">
        <w:rPr>
          <w:bCs/>
        </w:rPr>
        <w:t xml:space="preserve"> муниципальное образование со статусом сельского поселения входит в состав </w:t>
      </w:r>
      <w:r w:rsidR="007B3362" w:rsidRPr="007B3362">
        <w:rPr>
          <w:bCs/>
        </w:rPr>
        <w:t>Самойловского</w:t>
      </w:r>
      <w:r w:rsidRPr="00DD08CD">
        <w:rPr>
          <w:bCs/>
        </w:rPr>
        <w:t xml:space="preserve">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w:t>
      </w:r>
      <w:r w:rsidR="007B3362" w:rsidRPr="007B3362">
        <w:rPr>
          <w:bCs/>
        </w:rPr>
        <w:t xml:space="preserve">Саратовской области 29 декабря 2004 г. №116-ЗСО «О муниципальных образованиях, входящих в состав </w:t>
      </w:r>
      <w:r w:rsidR="00012CD5" w:rsidRPr="00012CD5">
        <w:rPr>
          <w:bCs/>
        </w:rPr>
        <w:t>Самойловского</w:t>
      </w:r>
      <w:r w:rsidR="007B3362" w:rsidRPr="007B3362">
        <w:rPr>
          <w:bCs/>
        </w:rPr>
        <w:t xml:space="preserve"> муниципального района»</w:t>
      </w:r>
      <w:r w:rsidRPr="00DD08CD">
        <w:rPr>
          <w:bCs/>
        </w:rPr>
        <w:t xml:space="preserve">.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F452C3" w:rsidRPr="00F452C3">
        <w:rPr>
          <w:bCs/>
        </w:rPr>
        <w:t>Хрущевское</w:t>
      </w:r>
      <w:r w:rsidRPr="00DD08CD">
        <w:rPr>
          <w:bCs/>
        </w:rPr>
        <w:t xml:space="preserve"> муниципальное образование </w:t>
      </w:r>
      <w:r w:rsidR="007B3362" w:rsidRPr="007B3362">
        <w:rPr>
          <w:bCs/>
        </w:rPr>
        <w:t>Самойловского</w:t>
      </w:r>
      <w:r w:rsidRPr="00DD08CD">
        <w:rPr>
          <w:bCs/>
        </w:rPr>
        <w:t xml:space="preserve"> муниципального района Саратовской области.</w:t>
      </w:r>
    </w:p>
    <w:p w:rsidR="006B3F4C" w:rsidRDefault="00B86178" w:rsidP="006B3F4C">
      <w:pPr>
        <w:autoSpaceDE w:val="0"/>
        <w:autoSpaceDN w:val="0"/>
        <w:adjustRightInd w:val="0"/>
        <w:ind w:left="567" w:firstLine="60"/>
        <w:jc w:val="both"/>
        <w:rPr>
          <w:bCs/>
        </w:rPr>
      </w:pPr>
      <w:r>
        <w:rPr>
          <w:bCs/>
        </w:rPr>
        <w:t xml:space="preserve">3.6. </w:t>
      </w:r>
      <w:r w:rsidRPr="00DD08CD">
        <w:rPr>
          <w:bCs/>
        </w:rPr>
        <w:t xml:space="preserve">В состав </w:t>
      </w:r>
      <w:r w:rsidR="00F452C3">
        <w:rPr>
          <w:bCs/>
        </w:rPr>
        <w:t>Хрущевского</w:t>
      </w:r>
      <w:r w:rsidRPr="00DD08CD">
        <w:rPr>
          <w:bCs/>
        </w:rPr>
        <w:t xml:space="preserve"> м</w:t>
      </w:r>
      <w:r w:rsidR="00022249">
        <w:rPr>
          <w:bCs/>
        </w:rPr>
        <w:t>униципального образования входят</w:t>
      </w:r>
      <w:r w:rsidR="00F26BDD">
        <w:rPr>
          <w:bCs/>
        </w:rPr>
        <w:t xml:space="preserve"> </w:t>
      </w:r>
      <w:r w:rsidR="00022249">
        <w:rPr>
          <w:bCs/>
        </w:rPr>
        <w:t>населенные пункты</w:t>
      </w:r>
      <w:r w:rsidRPr="00DD08CD">
        <w:rPr>
          <w:bCs/>
        </w:rPr>
        <w:t xml:space="preserve">: </w:t>
      </w:r>
    </w:p>
    <w:p w:rsidR="006B3F4C" w:rsidRPr="006B3F4C" w:rsidRDefault="006B3F4C" w:rsidP="006B3F4C">
      <w:pPr>
        <w:autoSpaceDE w:val="0"/>
        <w:autoSpaceDN w:val="0"/>
        <w:adjustRightInd w:val="0"/>
        <w:ind w:left="567" w:firstLine="60"/>
        <w:jc w:val="both"/>
        <w:rPr>
          <w:bCs/>
        </w:rPr>
      </w:pPr>
      <w:r w:rsidRPr="006B3F4C">
        <w:rPr>
          <w:bCs/>
        </w:rPr>
        <w:t xml:space="preserve">1) село </w:t>
      </w:r>
      <w:proofErr w:type="spellStart"/>
      <w:r w:rsidR="00F452C3" w:rsidRPr="00F452C3">
        <w:rPr>
          <w:bCs/>
        </w:rPr>
        <w:t>Хрущёвка</w:t>
      </w:r>
      <w:proofErr w:type="spellEnd"/>
      <w:r w:rsidRPr="006B3F4C">
        <w:rPr>
          <w:bCs/>
        </w:rPr>
        <w:t>;</w:t>
      </w:r>
    </w:p>
    <w:p w:rsidR="00B86178" w:rsidRDefault="006B3F4C" w:rsidP="000333AC">
      <w:pPr>
        <w:autoSpaceDE w:val="0"/>
        <w:autoSpaceDN w:val="0"/>
        <w:adjustRightInd w:val="0"/>
        <w:ind w:firstLine="567"/>
        <w:jc w:val="both"/>
        <w:rPr>
          <w:bCs/>
        </w:rPr>
      </w:pPr>
      <w:r w:rsidRPr="006B3F4C">
        <w:rPr>
          <w:bCs/>
        </w:rPr>
        <w:t xml:space="preserve">2) село </w:t>
      </w:r>
      <w:r w:rsidR="00F452C3" w:rsidRPr="00F452C3">
        <w:rPr>
          <w:bCs/>
        </w:rPr>
        <w:t>Голицыно</w:t>
      </w:r>
      <w:r w:rsidR="00F452C3">
        <w:rPr>
          <w:bCs/>
        </w:rPr>
        <w:t>;</w:t>
      </w:r>
    </w:p>
    <w:p w:rsidR="00F452C3" w:rsidRDefault="00F452C3" w:rsidP="000333AC">
      <w:pPr>
        <w:autoSpaceDE w:val="0"/>
        <w:autoSpaceDN w:val="0"/>
        <w:adjustRightInd w:val="0"/>
        <w:ind w:firstLine="567"/>
        <w:jc w:val="both"/>
        <w:rPr>
          <w:bCs/>
        </w:rPr>
      </w:pPr>
      <w:r>
        <w:rPr>
          <w:bCs/>
        </w:rPr>
        <w:t xml:space="preserve">3) поселок </w:t>
      </w:r>
      <w:r w:rsidRPr="00F452C3">
        <w:rPr>
          <w:bCs/>
        </w:rPr>
        <w:t>Кириков</w:t>
      </w:r>
      <w:r>
        <w:rPr>
          <w:bCs/>
        </w:rPr>
        <w:t>;</w:t>
      </w:r>
    </w:p>
    <w:p w:rsidR="00F452C3" w:rsidRDefault="00F452C3" w:rsidP="000333AC">
      <w:pPr>
        <w:autoSpaceDE w:val="0"/>
        <w:autoSpaceDN w:val="0"/>
        <w:adjustRightInd w:val="0"/>
        <w:ind w:firstLine="567"/>
        <w:jc w:val="both"/>
        <w:rPr>
          <w:bCs/>
        </w:rPr>
      </w:pPr>
      <w:r>
        <w:rPr>
          <w:bCs/>
        </w:rPr>
        <w:t xml:space="preserve">4) поселок </w:t>
      </w:r>
      <w:proofErr w:type="spellStart"/>
      <w:r w:rsidRPr="00F452C3">
        <w:rPr>
          <w:bCs/>
        </w:rPr>
        <w:t>Новосамойловский</w:t>
      </w:r>
      <w:proofErr w:type="spellEnd"/>
      <w:r>
        <w:rPr>
          <w:bCs/>
        </w:rPr>
        <w:t>;</w:t>
      </w:r>
    </w:p>
    <w:p w:rsidR="00F452C3" w:rsidRDefault="00F452C3" w:rsidP="000333AC">
      <w:pPr>
        <w:autoSpaceDE w:val="0"/>
        <w:autoSpaceDN w:val="0"/>
        <w:adjustRightInd w:val="0"/>
        <w:ind w:firstLine="567"/>
        <w:jc w:val="both"/>
        <w:rPr>
          <w:bCs/>
        </w:rPr>
      </w:pPr>
      <w:r>
        <w:rPr>
          <w:bCs/>
        </w:rPr>
        <w:t>5) поселок Садовый.</w:t>
      </w:r>
    </w:p>
    <w:p w:rsidR="000333AC" w:rsidRDefault="000333AC" w:rsidP="000333AC">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F26BDD">
        <w:rPr>
          <w:b/>
          <w:bCs/>
        </w:rPr>
        <w:t xml:space="preserve"> </w:t>
      </w:r>
      <w:r w:rsidR="00F452C3">
        <w:rPr>
          <w:b/>
          <w:bCs/>
        </w:rPr>
        <w:t xml:space="preserve">Хрущевского </w:t>
      </w:r>
      <w:r w:rsidRPr="00DD08CD">
        <w:rPr>
          <w:b/>
          <w:bCs/>
        </w:rPr>
        <w:t>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F26BDD">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357E7F">
            <w:pPr>
              <w:autoSpaceDE w:val="0"/>
              <w:autoSpaceDN w:val="0"/>
              <w:adjustRightInd w:val="0"/>
              <w:jc w:val="center"/>
              <w:rPr>
                <w:b/>
                <w:bCs/>
              </w:rPr>
            </w:pPr>
            <w:r>
              <w:rPr>
                <w:b/>
                <w:bCs/>
              </w:rPr>
              <w:t>Численность населения на 01.01.201</w:t>
            </w:r>
            <w:r w:rsidR="00357E7F">
              <w:rPr>
                <w:b/>
                <w:bCs/>
              </w:rPr>
              <w:t>7</w:t>
            </w:r>
            <w:r>
              <w:rPr>
                <w:b/>
                <w:bCs/>
              </w:rPr>
              <w:t xml:space="preserve">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F452C3" w:rsidP="006A1099">
            <w:pPr>
              <w:autoSpaceDE w:val="0"/>
              <w:autoSpaceDN w:val="0"/>
              <w:adjustRightInd w:val="0"/>
              <w:jc w:val="center"/>
              <w:rPr>
                <w:bCs/>
              </w:rPr>
            </w:pPr>
            <w:proofErr w:type="spellStart"/>
            <w:r>
              <w:rPr>
                <w:bCs/>
              </w:rPr>
              <w:t>Хрущевское</w:t>
            </w:r>
            <w:r w:rsidR="00E812DA" w:rsidRPr="00DD08CD">
              <w:rPr>
                <w:bCs/>
              </w:rPr>
              <w:t>муниципальное</w:t>
            </w:r>
            <w:proofErr w:type="spellEnd"/>
            <w:r w:rsidR="00E812DA" w:rsidRPr="00DD08CD">
              <w:rPr>
                <w:bCs/>
              </w:rPr>
              <w:t xml:space="preserve">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0B0652" w:rsidP="00F452C3">
            <w:pPr>
              <w:autoSpaceDE w:val="0"/>
              <w:autoSpaceDN w:val="0"/>
              <w:adjustRightInd w:val="0"/>
              <w:jc w:val="center"/>
              <w:rPr>
                <w:bCs/>
              </w:rPr>
            </w:pPr>
            <w:r w:rsidRPr="000B0652">
              <w:rPr>
                <w:bCs/>
              </w:rPr>
              <w:t xml:space="preserve">село </w:t>
            </w:r>
            <w:proofErr w:type="spellStart"/>
            <w:r w:rsidR="00F452C3">
              <w:rPr>
                <w:bCs/>
              </w:rPr>
              <w:t>Хрущевка</w:t>
            </w:r>
            <w:proofErr w:type="spellEnd"/>
          </w:p>
        </w:tc>
        <w:tc>
          <w:tcPr>
            <w:tcW w:w="2126" w:type="dxa"/>
            <w:tcMar>
              <w:left w:w="28" w:type="dxa"/>
              <w:right w:w="28" w:type="dxa"/>
            </w:tcMar>
            <w:vAlign w:val="center"/>
          </w:tcPr>
          <w:p w:rsidR="00E812DA" w:rsidRPr="00DD08CD" w:rsidRDefault="00E812DA" w:rsidP="00F452C3">
            <w:pPr>
              <w:autoSpaceDE w:val="0"/>
              <w:autoSpaceDN w:val="0"/>
              <w:adjustRightInd w:val="0"/>
              <w:jc w:val="center"/>
              <w:rPr>
                <w:bCs/>
              </w:rPr>
            </w:pPr>
            <w:r>
              <w:rPr>
                <w:bCs/>
              </w:rPr>
              <w:t xml:space="preserve">село </w:t>
            </w:r>
            <w:proofErr w:type="spellStart"/>
            <w:r w:rsidR="00F452C3">
              <w:rPr>
                <w:bCs/>
              </w:rPr>
              <w:t>Хрущевка</w:t>
            </w:r>
            <w:proofErr w:type="spellEnd"/>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F452C3" w:rsidP="00357E7F">
            <w:pPr>
              <w:autoSpaceDE w:val="0"/>
              <w:autoSpaceDN w:val="0"/>
              <w:adjustRightInd w:val="0"/>
              <w:jc w:val="both"/>
              <w:rPr>
                <w:bCs/>
              </w:rPr>
            </w:pPr>
            <w:r>
              <w:rPr>
                <w:bCs/>
              </w:rPr>
              <w:t>1169</w:t>
            </w:r>
            <w:r w:rsidR="00E812DA">
              <w:rPr>
                <w:bCs/>
              </w:rPr>
              <w:t xml:space="preserve"> чел.</w:t>
            </w:r>
          </w:p>
        </w:tc>
      </w:tr>
      <w:tr w:rsidR="00F452C3" w:rsidRPr="00DD08CD" w:rsidTr="00B86178">
        <w:trPr>
          <w:trHeight w:val="20"/>
          <w:jc w:val="center"/>
        </w:trPr>
        <w:tc>
          <w:tcPr>
            <w:tcW w:w="1445" w:type="dxa"/>
            <w:vMerge/>
            <w:tcMar>
              <w:left w:w="28" w:type="dxa"/>
              <w:right w:w="28" w:type="dxa"/>
            </w:tcMar>
            <w:vAlign w:val="center"/>
          </w:tcPr>
          <w:p w:rsidR="00F452C3" w:rsidRDefault="00F452C3" w:rsidP="006A1099">
            <w:pPr>
              <w:autoSpaceDE w:val="0"/>
              <w:autoSpaceDN w:val="0"/>
              <w:adjustRightInd w:val="0"/>
              <w:jc w:val="center"/>
              <w:rPr>
                <w:bCs/>
              </w:rPr>
            </w:pPr>
          </w:p>
        </w:tc>
        <w:tc>
          <w:tcPr>
            <w:tcW w:w="1418" w:type="dxa"/>
            <w:vMerge/>
            <w:tcMar>
              <w:left w:w="28" w:type="dxa"/>
              <w:right w:w="28" w:type="dxa"/>
            </w:tcMar>
            <w:vAlign w:val="center"/>
          </w:tcPr>
          <w:p w:rsidR="00F452C3" w:rsidRPr="00DD08CD" w:rsidRDefault="00F452C3" w:rsidP="006A1099">
            <w:pPr>
              <w:autoSpaceDE w:val="0"/>
              <w:autoSpaceDN w:val="0"/>
              <w:adjustRightInd w:val="0"/>
              <w:jc w:val="center"/>
              <w:rPr>
                <w:bCs/>
              </w:rPr>
            </w:pPr>
          </w:p>
        </w:tc>
        <w:tc>
          <w:tcPr>
            <w:tcW w:w="1559" w:type="dxa"/>
            <w:vMerge/>
            <w:tcMar>
              <w:left w:w="28" w:type="dxa"/>
              <w:right w:w="28" w:type="dxa"/>
            </w:tcMar>
            <w:vAlign w:val="center"/>
          </w:tcPr>
          <w:p w:rsidR="00F452C3" w:rsidRPr="000B0652" w:rsidRDefault="00F452C3" w:rsidP="00F452C3">
            <w:pPr>
              <w:autoSpaceDE w:val="0"/>
              <w:autoSpaceDN w:val="0"/>
              <w:adjustRightInd w:val="0"/>
              <w:jc w:val="center"/>
              <w:rPr>
                <w:bCs/>
              </w:rPr>
            </w:pPr>
          </w:p>
        </w:tc>
        <w:tc>
          <w:tcPr>
            <w:tcW w:w="2126" w:type="dxa"/>
            <w:tcMar>
              <w:left w:w="28" w:type="dxa"/>
              <w:right w:w="28" w:type="dxa"/>
            </w:tcMar>
            <w:vAlign w:val="center"/>
          </w:tcPr>
          <w:p w:rsidR="00F452C3" w:rsidRDefault="00F452C3" w:rsidP="00F452C3">
            <w:pPr>
              <w:autoSpaceDE w:val="0"/>
              <w:autoSpaceDN w:val="0"/>
              <w:adjustRightInd w:val="0"/>
              <w:jc w:val="center"/>
              <w:rPr>
                <w:bCs/>
              </w:rPr>
            </w:pPr>
            <w:r w:rsidRPr="006B3F4C">
              <w:rPr>
                <w:bCs/>
              </w:rPr>
              <w:t xml:space="preserve">село </w:t>
            </w:r>
            <w:r w:rsidRPr="00F452C3">
              <w:rPr>
                <w:bCs/>
              </w:rPr>
              <w:t>Голицыно</w:t>
            </w:r>
          </w:p>
        </w:tc>
        <w:tc>
          <w:tcPr>
            <w:tcW w:w="1276" w:type="dxa"/>
            <w:tcMar>
              <w:left w:w="28" w:type="dxa"/>
              <w:right w:w="28" w:type="dxa"/>
            </w:tcMar>
            <w:vAlign w:val="center"/>
          </w:tcPr>
          <w:p w:rsidR="00F452C3" w:rsidRPr="00DD08CD" w:rsidRDefault="00F452C3" w:rsidP="006A1099">
            <w:pPr>
              <w:autoSpaceDE w:val="0"/>
              <w:autoSpaceDN w:val="0"/>
              <w:adjustRightInd w:val="0"/>
              <w:jc w:val="center"/>
              <w:rPr>
                <w:bCs/>
              </w:rPr>
            </w:pPr>
            <w:r>
              <w:rPr>
                <w:bCs/>
              </w:rPr>
              <w:t>18</w:t>
            </w:r>
          </w:p>
        </w:tc>
        <w:tc>
          <w:tcPr>
            <w:tcW w:w="1276" w:type="dxa"/>
            <w:vMerge/>
            <w:tcMar>
              <w:left w:w="28" w:type="dxa"/>
              <w:right w:w="28" w:type="dxa"/>
            </w:tcMar>
            <w:vAlign w:val="center"/>
          </w:tcPr>
          <w:p w:rsidR="00F452C3" w:rsidRPr="000B0652" w:rsidRDefault="00F452C3" w:rsidP="00357E7F">
            <w:pPr>
              <w:autoSpaceDE w:val="0"/>
              <w:autoSpaceDN w:val="0"/>
              <w:adjustRightInd w:val="0"/>
              <w:jc w:val="both"/>
              <w:rPr>
                <w:bCs/>
              </w:rPr>
            </w:pPr>
          </w:p>
        </w:tc>
      </w:tr>
      <w:tr w:rsidR="00F452C3" w:rsidRPr="00DD08CD" w:rsidTr="00B86178">
        <w:trPr>
          <w:trHeight w:val="20"/>
          <w:jc w:val="center"/>
        </w:trPr>
        <w:tc>
          <w:tcPr>
            <w:tcW w:w="1445" w:type="dxa"/>
            <w:vMerge/>
            <w:tcMar>
              <w:left w:w="28" w:type="dxa"/>
              <w:right w:w="28" w:type="dxa"/>
            </w:tcMar>
            <w:vAlign w:val="center"/>
          </w:tcPr>
          <w:p w:rsidR="00F452C3" w:rsidRDefault="00F452C3" w:rsidP="006A1099">
            <w:pPr>
              <w:autoSpaceDE w:val="0"/>
              <w:autoSpaceDN w:val="0"/>
              <w:adjustRightInd w:val="0"/>
              <w:jc w:val="center"/>
              <w:rPr>
                <w:bCs/>
              </w:rPr>
            </w:pPr>
          </w:p>
        </w:tc>
        <w:tc>
          <w:tcPr>
            <w:tcW w:w="1418" w:type="dxa"/>
            <w:vMerge/>
            <w:tcMar>
              <w:left w:w="28" w:type="dxa"/>
              <w:right w:w="28" w:type="dxa"/>
            </w:tcMar>
            <w:vAlign w:val="center"/>
          </w:tcPr>
          <w:p w:rsidR="00F452C3" w:rsidRPr="00DD08CD" w:rsidRDefault="00F452C3" w:rsidP="006A1099">
            <w:pPr>
              <w:autoSpaceDE w:val="0"/>
              <w:autoSpaceDN w:val="0"/>
              <w:adjustRightInd w:val="0"/>
              <w:jc w:val="center"/>
              <w:rPr>
                <w:bCs/>
              </w:rPr>
            </w:pPr>
          </w:p>
        </w:tc>
        <w:tc>
          <w:tcPr>
            <w:tcW w:w="1559" w:type="dxa"/>
            <w:vMerge/>
            <w:tcMar>
              <w:left w:w="28" w:type="dxa"/>
              <w:right w:w="28" w:type="dxa"/>
            </w:tcMar>
            <w:vAlign w:val="center"/>
          </w:tcPr>
          <w:p w:rsidR="00F452C3" w:rsidRPr="000B0652" w:rsidRDefault="00F452C3" w:rsidP="00F452C3">
            <w:pPr>
              <w:autoSpaceDE w:val="0"/>
              <w:autoSpaceDN w:val="0"/>
              <w:adjustRightInd w:val="0"/>
              <w:jc w:val="center"/>
              <w:rPr>
                <w:bCs/>
              </w:rPr>
            </w:pPr>
          </w:p>
        </w:tc>
        <w:tc>
          <w:tcPr>
            <w:tcW w:w="2126" w:type="dxa"/>
            <w:tcMar>
              <w:left w:w="28" w:type="dxa"/>
              <w:right w:w="28" w:type="dxa"/>
            </w:tcMar>
            <w:vAlign w:val="center"/>
          </w:tcPr>
          <w:p w:rsidR="00F452C3" w:rsidRDefault="00F452C3" w:rsidP="00F452C3">
            <w:pPr>
              <w:autoSpaceDE w:val="0"/>
              <w:autoSpaceDN w:val="0"/>
              <w:adjustRightInd w:val="0"/>
              <w:jc w:val="center"/>
              <w:rPr>
                <w:bCs/>
              </w:rPr>
            </w:pPr>
            <w:r>
              <w:rPr>
                <w:bCs/>
              </w:rPr>
              <w:t xml:space="preserve">поселок </w:t>
            </w:r>
            <w:r w:rsidRPr="00F452C3">
              <w:rPr>
                <w:bCs/>
              </w:rPr>
              <w:t>Кириков</w:t>
            </w:r>
          </w:p>
        </w:tc>
        <w:tc>
          <w:tcPr>
            <w:tcW w:w="1276" w:type="dxa"/>
            <w:tcMar>
              <w:left w:w="28" w:type="dxa"/>
              <w:right w:w="28" w:type="dxa"/>
            </w:tcMar>
            <w:vAlign w:val="center"/>
          </w:tcPr>
          <w:p w:rsidR="00F452C3" w:rsidRPr="00DD08CD" w:rsidRDefault="00F452C3" w:rsidP="006A1099">
            <w:pPr>
              <w:autoSpaceDE w:val="0"/>
              <w:autoSpaceDN w:val="0"/>
              <w:adjustRightInd w:val="0"/>
              <w:jc w:val="center"/>
              <w:rPr>
                <w:bCs/>
              </w:rPr>
            </w:pPr>
            <w:r>
              <w:rPr>
                <w:bCs/>
              </w:rPr>
              <w:t>3</w:t>
            </w:r>
          </w:p>
        </w:tc>
        <w:tc>
          <w:tcPr>
            <w:tcW w:w="1276" w:type="dxa"/>
            <w:vMerge/>
            <w:tcMar>
              <w:left w:w="28" w:type="dxa"/>
              <w:right w:w="28" w:type="dxa"/>
            </w:tcMar>
            <w:vAlign w:val="center"/>
          </w:tcPr>
          <w:p w:rsidR="00F452C3" w:rsidRPr="000B0652" w:rsidRDefault="00F452C3" w:rsidP="00357E7F">
            <w:pPr>
              <w:autoSpaceDE w:val="0"/>
              <w:autoSpaceDN w:val="0"/>
              <w:adjustRightInd w:val="0"/>
              <w:jc w:val="both"/>
              <w:rPr>
                <w:bCs/>
              </w:rPr>
            </w:pPr>
          </w:p>
        </w:tc>
      </w:tr>
      <w:tr w:rsidR="00F452C3" w:rsidRPr="00DD08CD" w:rsidTr="00B86178">
        <w:trPr>
          <w:trHeight w:val="20"/>
          <w:jc w:val="center"/>
        </w:trPr>
        <w:tc>
          <w:tcPr>
            <w:tcW w:w="1445" w:type="dxa"/>
            <w:vMerge/>
            <w:tcMar>
              <w:left w:w="28" w:type="dxa"/>
              <w:right w:w="28" w:type="dxa"/>
            </w:tcMar>
            <w:vAlign w:val="center"/>
          </w:tcPr>
          <w:p w:rsidR="00F452C3" w:rsidRDefault="00F452C3" w:rsidP="006A1099">
            <w:pPr>
              <w:autoSpaceDE w:val="0"/>
              <w:autoSpaceDN w:val="0"/>
              <w:adjustRightInd w:val="0"/>
              <w:jc w:val="center"/>
              <w:rPr>
                <w:bCs/>
              </w:rPr>
            </w:pPr>
          </w:p>
        </w:tc>
        <w:tc>
          <w:tcPr>
            <w:tcW w:w="1418" w:type="dxa"/>
            <w:vMerge/>
            <w:tcMar>
              <w:left w:w="28" w:type="dxa"/>
              <w:right w:w="28" w:type="dxa"/>
            </w:tcMar>
            <w:vAlign w:val="center"/>
          </w:tcPr>
          <w:p w:rsidR="00F452C3" w:rsidRPr="00DD08CD" w:rsidRDefault="00F452C3" w:rsidP="006A1099">
            <w:pPr>
              <w:autoSpaceDE w:val="0"/>
              <w:autoSpaceDN w:val="0"/>
              <w:adjustRightInd w:val="0"/>
              <w:jc w:val="center"/>
              <w:rPr>
                <w:bCs/>
              </w:rPr>
            </w:pPr>
          </w:p>
        </w:tc>
        <w:tc>
          <w:tcPr>
            <w:tcW w:w="1559" w:type="dxa"/>
            <w:vMerge/>
            <w:tcMar>
              <w:left w:w="28" w:type="dxa"/>
              <w:right w:w="28" w:type="dxa"/>
            </w:tcMar>
            <w:vAlign w:val="center"/>
          </w:tcPr>
          <w:p w:rsidR="00F452C3" w:rsidRPr="000B0652" w:rsidRDefault="00F452C3" w:rsidP="00F452C3">
            <w:pPr>
              <w:autoSpaceDE w:val="0"/>
              <w:autoSpaceDN w:val="0"/>
              <w:adjustRightInd w:val="0"/>
              <w:jc w:val="center"/>
              <w:rPr>
                <w:bCs/>
              </w:rPr>
            </w:pPr>
          </w:p>
        </w:tc>
        <w:tc>
          <w:tcPr>
            <w:tcW w:w="2126" w:type="dxa"/>
            <w:tcMar>
              <w:left w:w="28" w:type="dxa"/>
              <w:right w:w="28" w:type="dxa"/>
            </w:tcMar>
            <w:vAlign w:val="center"/>
          </w:tcPr>
          <w:p w:rsidR="00F452C3" w:rsidRDefault="00F452C3" w:rsidP="00F452C3">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c>
          <w:tcPr>
            <w:tcW w:w="1276" w:type="dxa"/>
            <w:tcMar>
              <w:left w:w="28" w:type="dxa"/>
              <w:right w:w="28" w:type="dxa"/>
            </w:tcMar>
            <w:vAlign w:val="center"/>
          </w:tcPr>
          <w:p w:rsidR="00F452C3" w:rsidRPr="00DD08CD" w:rsidRDefault="00F452C3" w:rsidP="006A1099">
            <w:pPr>
              <w:autoSpaceDE w:val="0"/>
              <w:autoSpaceDN w:val="0"/>
              <w:adjustRightInd w:val="0"/>
              <w:jc w:val="center"/>
              <w:rPr>
                <w:bCs/>
              </w:rPr>
            </w:pPr>
            <w:r>
              <w:rPr>
                <w:bCs/>
              </w:rPr>
              <w:t>12</w:t>
            </w:r>
          </w:p>
        </w:tc>
        <w:tc>
          <w:tcPr>
            <w:tcW w:w="1276" w:type="dxa"/>
            <w:vMerge/>
            <w:tcMar>
              <w:left w:w="28" w:type="dxa"/>
              <w:right w:w="28" w:type="dxa"/>
            </w:tcMar>
            <w:vAlign w:val="center"/>
          </w:tcPr>
          <w:p w:rsidR="00F452C3" w:rsidRPr="000B0652" w:rsidRDefault="00F452C3" w:rsidP="00357E7F">
            <w:pPr>
              <w:autoSpaceDE w:val="0"/>
              <w:autoSpaceDN w:val="0"/>
              <w:adjustRightInd w:val="0"/>
              <w:jc w:val="both"/>
              <w:rPr>
                <w:bCs/>
              </w:rPr>
            </w:pPr>
          </w:p>
        </w:tc>
      </w:tr>
      <w:tr w:rsidR="000B0652" w:rsidRPr="00DD08CD" w:rsidTr="000B0652">
        <w:trPr>
          <w:trHeight w:val="1164"/>
          <w:jc w:val="center"/>
        </w:trPr>
        <w:tc>
          <w:tcPr>
            <w:tcW w:w="1445"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1418"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1559"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2126" w:type="dxa"/>
            <w:tcMar>
              <w:left w:w="28" w:type="dxa"/>
              <w:right w:w="28" w:type="dxa"/>
            </w:tcMar>
            <w:vAlign w:val="center"/>
          </w:tcPr>
          <w:p w:rsidR="000B0652" w:rsidRPr="00DD08CD" w:rsidRDefault="00F452C3" w:rsidP="006A1099">
            <w:pPr>
              <w:autoSpaceDE w:val="0"/>
              <w:autoSpaceDN w:val="0"/>
              <w:adjustRightInd w:val="0"/>
              <w:jc w:val="center"/>
              <w:rPr>
                <w:bCs/>
              </w:rPr>
            </w:pPr>
            <w:r>
              <w:rPr>
                <w:bCs/>
              </w:rPr>
              <w:t>поселок Садовый</w:t>
            </w:r>
          </w:p>
        </w:tc>
        <w:tc>
          <w:tcPr>
            <w:tcW w:w="1276" w:type="dxa"/>
            <w:tcMar>
              <w:left w:w="28" w:type="dxa"/>
              <w:right w:w="28" w:type="dxa"/>
            </w:tcMar>
            <w:vAlign w:val="center"/>
          </w:tcPr>
          <w:p w:rsidR="000B0652" w:rsidRPr="00DD08CD" w:rsidRDefault="00F452C3" w:rsidP="006A1099">
            <w:pPr>
              <w:autoSpaceDE w:val="0"/>
              <w:autoSpaceDN w:val="0"/>
              <w:adjustRightInd w:val="0"/>
              <w:ind w:firstLine="567"/>
              <w:rPr>
                <w:bCs/>
              </w:rPr>
            </w:pPr>
            <w:r>
              <w:rPr>
                <w:bCs/>
              </w:rPr>
              <w:t>13</w:t>
            </w:r>
          </w:p>
        </w:tc>
        <w:tc>
          <w:tcPr>
            <w:tcW w:w="1276"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F452C3" w:rsidP="000B0652">
            <w:pPr>
              <w:autoSpaceDE w:val="0"/>
              <w:autoSpaceDN w:val="0"/>
              <w:adjustRightInd w:val="0"/>
              <w:ind w:firstLine="567"/>
              <w:jc w:val="both"/>
              <w:rPr>
                <w:bCs/>
              </w:rPr>
            </w:pPr>
            <w:r>
              <w:rPr>
                <w:bCs/>
              </w:rPr>
              <w:t>5</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00A5447B" w:rsidRPr="00A5447B">
        <w:rPr>
          <w:bCs/>
        </w:rPr>
        <w:t xml:space="preserve">Территория </w:t>
      </w:r>
      <w:r w:rsidR="00A5447B">
        <w:rPr>
          <w:bCs/>
        </w:rPr>
        <w:t>муниципального образования</w:t>
      </w:r>
      <w:r w:rsidR="00A5447B" w:rsidRPr="00A5447B">
        <w:rPr>
          <w:bCs/>
        </w:rPr>
        <w:t xml:space="preserve">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A5447B" w:rsidRPr="00A5447B">
        <w:rPr>
          <w:bCs/>
        </w:rPr>
        <w:t>от</w:t>
      </w:r>
      <w:proofErr w:type="gramEnd"/>
      <w:r w:rsidR="00A5447B" w:rsidRPr="00A5447B">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A5447B" w:rsidRPr="00A5447B">
        <w:rPr>
          <w:bCs/>
        </w:rPr>
        <w:t>Рязано-Саратовским</w:t>
      </w:r>
      <w:proofErr w:type="spellEnd"/>
      <w:r w:rsidR="00A5447B" w:rsidRPr="00A5447B">
        <w:rPr>
          <w:bCs/>
        </w:rPr>
        <w:t xml:space="preserve"> прогибом, разделяющим </w:t>
      </w:r>
      <w:proofErr w:type="gramStart"/>
      <w:r w:rsidR="00A5447B" w:rsidRPr="00A5447B">
        <w:rPr>
          <w:bCs/>
        </w:rPr>
        <w:t>Воронежский</w:t>
      </w:r>
      <w:proofErr w:type="gramEnd"/>
      <w:r w:rsidR="00A5447B" w:rsidRPr="00A5447B">
        <w:rPr>
          <w:bCs/>
        </w:rPr>
        <w:t xml:space="preserve"> и </w:t>
      </w:r>
      <w:proofErr w:type="spellStart"/>
      <w:r w:rsidR="00A5447B" w:rsidRPr="00A5447B">
        <w:rPr>
          <w:bCs/>
        </w:rPr>
        <w:t>Токмовский</w:t>
      </w:r>
      <w:proofErr w:type="spellEnd"/>
      <w:r w:rsidR="00A5447B" w:rsidRPr="00A5447B">
        <w:rPr>
          <w:bCs/>
        </w:rPr>
        <w:t xml:space="preserve"> своды.</w:t>
      </w:r>
    </w:p>
    <w:p w:rsidR="00B86178" w:rsidRDefault="00B86178" w:rsidP="00B86178">
      <w:pPr>
        <w:autoSpaceDE w:val="0"/>
        <w:autoSpaceDN w:val="0"/>
        <w:adjustRightInd w:val="0"/>
        <w:ind w:firstLine="567"/>
        <w:jc w:val="both"/>
        <w:rPr>
          <w:bCs/>
        </w:rPr>
      </w:pPr>
      <w:r>
        <w:rPr>
          <w:bCs/>
        </w:rPr>
        <w:t xml:space="preserve">3.8. </w:t>
      </w:r>
      <w:r w:rsidR="00A5447B" w:rsidRPr="00A5447B">
        <w:rPr>
          <w:bCs/>
        </w:rPr>
        <w:t>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B402CB">
        <w:rPr>
          <w:bCs/>
        </w:rPr>
        <w:t>Хрущевского</w:t>
      </w:r>
      <w:r w:rsidR="00F26BDD">
        <w:rPr>
          <w:bCs/>
        </w:rPr>
        <w:t xml:space="preserve"> </w:t>
      </w:r>
      <w:r>
        <w:rPr>
          <w:bCs/>
        </w:rPr>
        <w:t>муниципального образования</w:t>
      </w:r>
      <w:r w:rsidRPr="00B81807">
        <w:rPr>
          <w:bCs/>
        </w:rPr>
        <w:t xml:space="preserve"> характерен </w:t>
      </w:r>
      <w:r w:rsidR="00804468" w:rsidRPr="00804468">
        <w:rPr>
          <w:bCs/>
        </w:rPr>
        <w:t xml:space="preserve">умеренно континентальный </w:t>
      </w:r>
      <w:r w:rsidR="00804468">
        <w:rPr>
          <w:bCs/>
        </w:rPr>
        <w:t xml:space="preserve"> климат </w:t>
      </w:r>
      <w:r w:rsidR="00804468" w:rsidRPr="00804468">
        <w:rPr>
          <w:bCs/>
        </w:rPr>
        <w:t>с жарким летом и холодной зимой.</w:t>
      </w:r>
      <w:r w:rsidR="00F26BDD">
        <w:rPr>
          <w:bCs/>
        </w:rPr>
        <w:t xml:space="preserve"> </w:t>
      </w:r>
      <w:r w:rsidR="00804468"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804468" w:rsidRPr="00804468" w:rsidRDefault="00804468" w:rsidP="00804468">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04468" w:rsidRPr="00804468" w:rsidRDefault="00804468" w:rsidP="00804468">
      <w:pPr>
        <w:autoSpaceDE w:val="0"/>
        <w:autoSpaceDN w:val="0"/>
        <w:adjustRightInd w:val="0"/>
        <w:ind w:firstLine="567"/>
        <w:jc w:val="both"/>
        <w:rPr>
          <w:bCs/>
        </w:rPr>
      </w:pPr>
      <w:r w:rsidRPr="00804468">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804468" w:rsidRDefault="00804468" w:rsidP="00804468">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601227" w:rsidRPr="00601227" w:rsidRDefault="00601227" w:rsidP="00601227">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601227" w:rsidRPr="00601227" w:rsidRDefault="00601227" w:rsidP="00601227">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601227" w:rsidRPr="00601227" w:rsidRDefault="00601227" w:rsidP="00601227">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601227" w:rsidRPr="00601227" w:rsidRDefault="00B86178" w:rsidP="00601227">
      <w:pPr>
        <w:autoSpaceDE w:val="0"/>
        <w:autoSpaceDN w:val="0"/>
        <w:adjustRightInd w:val="0"/>
        <w:ind w:firstLine="567"/>
        <w:jc w:val="both"/>
        <w:rPr>
          <w:bCs/>
        </w:rPr>
      </w:pPr>
      <w:r>
        <w:rPr>
          <w:bCs/>
        </w:rPr>
        <w:t xml:space="preserve">3.10. </w:t>
      </w:r>
      <w:r w:rsidR="00601227"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601227" w:rsidRPr="00601227" w:rsidRDefault="00601227" w:rsidP="00601227">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601227" w:rsidRPr="00601227" w:rsidRDefault="00601227" w:rsidP="00601227">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601227" w:rsidRPr="00601227" w:rsidRDefault="00601227" w:rsidP="00601227">
      <w:pPr>
        <w:autoSpaceDE w:val="0"/>
        <w:autoSpaceDN w:val="0"/>
        <w:adjustRightInd w:val="0"/>
        <w:ind w:firstLine="567"/>
        <w:jc w:val="both"/>
        <w:rPr>
          <w:bCs/>
        </w:rPr>
      </w:pPr>
      <w:r w:rsidRPr="00601227">
        <w:rPr>
          <w:bCs/>
        </w:rPr>
        <w:lastRenderedPageBreak/>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601227" w:rsidRPr="00601227" w:rsidRDefault="00601227" w:rsidP="00601227">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601227" w:rsidRPr="00601227" w:rsidRDefault="00601227" w:rsidP="00601227">
      <w:pPr>
        <w:autoSpaceDE w:val="0"/>
        <w:autoSpaceDN w:val="0"/>
        <w:adjustRightInd w:val="0"/>
        <w:ind w:firstLine="567"/>
        <w:jc w:val="both"/>
        <w:rPr>
          <w:bCs/>
        </w:rPr>
      </w:pPr>
      <w:r w:rsidRPr="00601227">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601227" w:rsidRPr="00601227" w:rsidRDefault="00601227" w:rsidP="00601227">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601227" w:rsidRPr="00601227" w:rsidRDefault="00601227" w:rsidP="00601227">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B86178" w:rsidRPr="00B81807" w:rsidRDefault="00601227" w:rsidP="00601227">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С 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4B1A6B" w:rsidRPr="004B1A6B" w:rsidRDefault="00B86178" w:rsidP="004B1A6B">
      <w:pPr>
        <w:pStyle w:val="ab"/>
        <w:ind w:firstLine="567"/>
        <w:jc w:val="both"/>
        <w:rPr>
          <w:sz w:val="24"/>
          <w:szCs w:val="24"/>
        </w:rPr>
      </w:pPr>
      <w:r w:rsidRPr="004B1A6B">
        <w:rPr>
          <w:sz w:val="24"/>
          <w:szCs w:val="24"/>
        </w:rPr>
        <w:t xml:space="preserve">3.11. </w:t>
      </w:r>
      <w:proofErr w:type="spellStart"/>
      <w:r w:rsidR="004B1A6B" w:rsidRPr="004B1A6B">
        <w:rPr>
          <w:sz w:val="24"/>
          <w:szCs w:val="24"/>
        </w:rPr>
        <w:t>Самойловск</w:t>
      </w:r>
      <w:r w:rsidR="004B1A6B">
        <w:rPr>
          <w:sz w:val="24"/>
          <w:szCs w:val="24"/>
        </w:rPr>
        <w:t>ий</w:t>
      </w:r>
      <w:proofErr w:type="spellEnd"/>
      <w:r w:rsidR="004B1A6B">
        <w:rPr>
          <w:sz w:val="24"/>
          <w:szCs w:val="24"/>
        </w:rPr>
        <w:t xml:space="preserve"> р</w:t>
      </w:r>
      <w:r w:rsidR="004B1A6B" w:rsidRPr="004B1A6B">
        <w:rPr>
          <w:sz w:val="24"/>
          <w:szCs w:val="24"/>
        </w:rPr>
        <w:t xml:space="preserve">айон образован 23 июля 1928 года в составе </w:t>
      </w:r>
      <w:proofErr w:type="spellStart"/>
      <w:r w:rsidR="004B1A6B" w:rsidRPr="004B1A6B">
        <w:rPr>
          <w:sz w:val="24"/>
          <w:szCs w:val="24"/>
        </w:rPr>
        <w:t>Балашовского</w:t>
      </w:r>
      <w:proofErr w:type="spellEnd"/>
      <w:r w:rsidR="004B1A6B" w:rsidRPr="004B1A6B">
        <w:rPr>
          <w:sz w:val="24"/>
          <w:szCs w:val="24"/>
        </w:rPr>
        <w:t xml:space="preserve"> округа </w:t>
      </w:r>
      <w:proofErr w:type="spellStart"/>
      <w:r w:rsidR="004B1A6B" w:rsidRPr="004B1A6B">
        <w:rPr>
          <w:sz w:val="24"/>
          <w:szCs w:val="24"/>
        </w:rPr>
        <w:t>Нижне-Волжского</w:t>
      </w:r>
      <w:proofErr w:type="spellEnd"/>
      <w:r w:rsidR="004B1A6B" w:rsidRPr="004B1A6B">
        <w:rPr>
          <w:sz w:val="24"/>
          <w:szCs w:val="24"/>
        </w:rPr>
        <w:t xml:space="preserve"> края. В его состав вошла территория бывшей </w:t>
      </w:r>
      <w:proofErr w:type="spellStart"/>
      <w:r w:rsidR="004B1A6B" w:rsidRPr="004B1A6B">
        <w:rPr>
          <w:sz w:val="24"/>
          <w:szCs w:val="24"/>
        </w:rPr>
        <w:t>Самойловской</w:t>
      </w:r>
      <w:proofErr w:type="spellEnd"/>
      <w:r w:rsidR="004B1A6B" w:rsidRPr="004B1A6B">
        <w:rPr>
          <w:sz w:val="24"/>
          <w:szCs w:val="24"/>
        </w:rPr>
        <w:t xml:space="preserve"> волости </w:t>
      </w:r>
      <w:proofErr w:type="spellStart"/>
      <w:r w:rsidR="004B1A6B" w:rsidRPr="004B1A6B">
        <w:rPr>
          <w:sz w:val="24"/>
          <w:szCs w:val="24"/>
        </w:rPr>
        <w:t>Балашовского</w:t>
      </w:r>
      <w:proofErr w:type="spellEnd"/>
      <w:r w:rsidR="004B1A6B" w:rsidRPr="004B1A6B">
        <w:rPr>
          <w:sz w:val="24"/>
          <w:szCs w:val="24"/>
        </w:rPr>
        <w:t xml:space="preserve"> уезда Саратовской губернии.</w:t>
      </w:r>
    </w:p>
    <w:p w:rsidR="004B1A6B" w:rsidRPr="004B1A6B" w:rsidRDefault="004B1A6B" w:rsidP="004B1A6B">
      <w:pPr>
        <w:pStyle w:val="ab"/>
        <w:ind w:firstLine="567"/>
        <w:jc w:val="both"/>
        <w:rPr>
          <w:sz w:val="24"/>
          <w:szCs w:val="24"/>
        </w:rPr>
      </w:pPr>
      <w:r w:rsidRPr="004B1A6B">
        <w:rPr>
          <w:sz w:val="24"/>
          <w:szCs w:val="24"/>
        </w:rPr>
        <w:t>С 1934 года район в составе Саратовского края, с 1936 года — в Саратовской области.</w:t>
      </w:r>
    </w:p>
    <w:p w:rsidR="004B1A6B" w:rsidRPr="004B1A6B" w:rsidRDefault="004B1A6B" w:rsidP="004B1A6B">
      <w:pPr>
        <w:pStyle w:val="ab"/>
        <w:ind w:firstLine="567"/>
        <w:jc w:val="both"/>
        <w:rPr>
          <w:sz w:val="24"/>
          <w:szCs w:val="24"/>
        </w:rPr>
      </w:pPr>
      <w:r w:rsidRPr="004B1A6B">
        <w:rPr>
          <w:sz w:val="24"/>
          <w:szCs w:val="24"/>
        </w:rPr>
        <w:t xml:space="preserve">С 6 января 1954 года по 19 ноября 1957 года район входил в состав </w:t>
      </w:r>
      <w:proofErr w:type="spellStart"/>
      <w:r w:rsidRPr="004B1A6B">
        <w:rPr>
          <w:sz w:val="24"/>
          <w:szCs w:val="24"/>
        </w:rPr>
        <w:t>Балашовской</w:t>
      </w:r>
      <w:proofErr w:type="spellEnd"/>
      <w:r w:rsidRPr="004B1A6B">
        <w:rPr>
          <w:sz w:val="24"/>
          <w:szCs w:val="24"/>
        </w:rPr>
        <w:t xml:space="preserve"> области.</w:t>
      </w:r>
    </w:p>
    <w:p w:rsidR="004B1A6B" w:rsidRPr="004B1A6B" w:rsidRDefault="004B1A6B" w:rsidP="004B1A6B">
      <w:pPr>
        <w:pStyle w:val="ab"/>
        <w:ind w:firstLine="567"/>
        <w:jc w:val="both"/>
        <w:rPr>
          <w:sz w:val="24"/>
          <w:szCs w:val="24"/>
        </w:rPr>
      </w:pPr>
      <w:r w:rsidRPr="004B1A6B">
        <w:rPr>
          <w:sz w:val="24"/>
          <w:szCs w:val="24"/>
        </w:rPr>
        <w:t xml:space="preserve">В 1959 году в состав района вошла территория упразднённого </w:t>
      </w:r>
      <w:proofErr w:type="spellStart"/>
      <w:r w:rsidRPr="004B1A6B">
        <w:rPr>
          <w:sz w:val="24"/>
          <w:szCs w:val="24"/>
        </w:rPr>
        <w:t>Красавского</w:t>
      </w:r>
      <w:proofErr w:type="spellEnd"/>
      <w:r w:rsidRPr="004B1A6B">
        <w:rPr>
          <w:sz w:val="24"/>
          <w:szCs w:val="24"/>
        </w:rPr>
        <w:t xml:space="preserve"> района с центром в </w:t>
      </w:r>
      <w:proofErr w:type="gramStart"/>
      <w:r w:rsidRPr="004B1A6B">
        <w:rPr>
          <w:sz w:val="24"/>
          <w:szCs w:val="24"/>
        </w:rPr>
        <w:t>с</w:t>
      </w:r>
      <w:proofErr w:type="gramEnd"/>
      <w:r w:rsidRPr="004B1A6B">
        <w:rPr>
          <w:sz w:val="24"/>
          <w:szCs w:val="24"/>
        </w:rPr>
        <w:t>. Святославка</w:t>
      </w:r>
      <w:r>
        <w:rPr>
          <w:sz w:val="24"/>
          <w:szCs w:val="24"/>
        </w:rPr>
        <w:t>.</w:t>
      </w:r>
    </w:p>
    <w:p w:rsidR="004B1A6B" w:rsidRPr="004B1A6B" w:rsidRDefault="004B1A6B" w:rsidP="004B1A6B">
      <w:pPr>
        <w:pStyle w:val="ab"/>
        <w:ind w:firstLine="567"/>
        <w:jc w:val="both"/>
        <w:rPr>
          <w:sz w:val="24"/>
          <w:szCs w:val="24"/>
        </w:rPr>
      </w:pPr>
      <w:r w:rsidRPr="004B1A6B">
        <w:rPr>
          <w:sz w:val="24"/>
          <w:szCs w:val="24"/>
        </w:rPr>
        <w:t>В 1963—1964 годах район был упразднён.</w:t>
      </w:r>
    </w:p>
    <w:p w:rsidR="004B1A6B" w:rsidRDefault="004B1A6B" w:rsidP="004B1A6B">
      <w:pPr>
        <w:pStyle w:val="ab"/>
        <w:ind w:firstLine="567"/>
        <w:jc w:val="both"/>
        <w:rPr>
          <w:sz w:val="24"/>
          <w:szCs w:val="24"/>
        </w:rPr>
      </w:pPr>
      <w:r w:rsidRPr="004B1A6B">
        <w:rPr>
          <w:sz w:val="24"/>
          <w:szCs w:val="24"/>
        </w:rPr>
        <w:t xml:space="preserve">С 1 января 2005 года район преобразован в муниципальное образование </w:t>
      </w:r>
      <w:proofErr w:type="spellStart"/>
      <w:r w:rsidRPr="004B1A6B">
        <w:rPr>
          <w:sz w:val="24"/>
          <w:szCs w:val="24"/>
        </w:rPr>
        <w:t>Самойловский</w:t>
      </w:r>
      <w:proofErr w:type="spellEnd"/>
      <w:r w:rsidRPr="004B1A6B">
        <w:rPr>
          <w:sz w:val="24"/>
          <w:szCs w:val="24"/>
        </w:rPr>
        <w:t xml:space="preserve"> муниципальный район</w:t>
      </w:r>
      <w:r>
        <w:rPr>
          <w:sz w:val="24"/>
          <w:szCs w:val="24"/>
        </w:rPr>
        <w:t>.</w:t>
      </w:r>
    </w:p>
    <w:p w:rsidR="00B86178" w:rsidRPr="004B1A6B" w:rsidRDefault="00B86178" w:rsidP="004B1A6B">
      <w:pPr>
        <w:pStyle w:val="ab"/>
        <w:ind w:firstLine="567"/>
        <w:jc w:val="both"/>
        <w:rPr>
          <w:sz w:val="24"/>
          <w:szCs w:val="24"/>
        </w:rPr>
      </w:pPr>
      <w:r w:rsidRPr="004B1A6B">
        <w:rPr>
          <w:sz w:val="24"/>
          <w:szCs w:val="24"/>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 xml:space="preserve">На территории </w:t>
      </w:r>
      <w:r w:rsidR="004B1A6B">
        <w:t>Самойловского</w:t>
      </w:r>
      <w:r w:rsidRPr="00DD08CD">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w:t>
      </w:r>
    </w:p>
    <w:p w:rsidR="0044171D" w:rsidRPr="00DD08CD" w:rsidRDefault="0044171D"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B402CB" w:rsidRPr="00B402CB">
        <w:rPr>
          <w:b/>
        </w:rPr>
        <w:t>Хрущевского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B402CB" w:rsidRPr="00B81807" w:rsidTr="00CD0B8F">
        <w:tc>
          <w:tcPr>
            <w:tcW w:w="1101" w:type="dxa"/>
          </w:tcPr>
          <w:p w:rsidR="00B402CB" w:rsidRPr="00B81807" w:rsidRDefault="00B402CB" w:rsidP="006A1099">
            <w:pPr>
              <w:jc w:val="center"/>
            </w:pPr>
            <w:r>
              <w:t>1</w:t>
            </w:r>
          </w:p>
        </w:tc>
        <w:tc>
          <w:tcPr>
            <w:tcW w:w="8470" w:type="dxa"/>
            <w:shd w:val="clear" w:color="auto" w:fill="auto"/>
            <w:vAlign w:val="center"/>
          </w:tcPr>
          <w:p w:rsidR="00B402CB" w:rsidRPr="00DD08CD" w:rsidRDefault="00B402CB" w:rsidP="00C21521">
            <w:pPr>
              <w:autoSpaceDE w:val="0"/>
              <w:autoSpaceDN w:val="0"/>
              <w:adjustRightInd w:val="0"/>
              <w:jc w:val="center"/>
              <w:rPr>
                <w:bCs/>
              </w:rPr>
            </w:pPr>
            <w:r>
              <w:rPr>
                <w:bCs/>
              </w:rPr>
              <w:t xml:space="preserve">село </w:t>
            </w:r>
            <w:proofErr w:type="spellStart"/>
            <w:r>
              <w:rPr>
                <w:bCs/>
              </w:rPr>
              <w:t>Хрущевка</w:t>
            </w:r>
            <w:proofErr w:type="spellEnd"/>
          </w:p>
        </w:tc>
      </w:tr>
      <w:tr w:rsidR="00B402CB" w:rsidRPr="00B81807" w:rsidTr="00CD0B8F">
        <w:tc>
          <w:tcPr>
            <w:tcW w:w="1101" w:type="dxa"/>
          </w:tcPr>
          <w:p w:rsidR="00B402CB" w:rsidRDefault="00B402CB" w:rsidP="006A1099">
            <w:pPr>
              <w:jc w:val="center"/>
            </w:pPr>
            <w:r>
              <w:t>2</w:t>
            </w:r>
          </w:p>
        </w:tc>
        <w:tc>
          <w:tcPr>
            <w:tcW w:w="8470" w:type="dxa"/>
            <w:shd w:val="clear" w:color="auto" w:fill="auto"/>
            <w:vAlign w:val="center"/>
          </w:tcPr>
          <w:p w:rsidR="00B402CB" w:rsidRDefault="00B402CB" w:rsidP="00C21521">
            <w:pPr>
              <w:autoSpaceDE w:val="0"/>
              <w:autoSpaceDN w:val="0"/>
              <w:adjustRightInd w:val="0"/>
              <w:jc w:val="center"/>
              <w:rPr>
                <w:bCs/>
              </w:rPr>
            </w:pPr>
            <w:r w:rsidRPr="006B3F4C">
              <w:rPr>
                <w:bCs/>
              </w:rPr>
              <w:t xml:space="preserve">село </w:t>
            </w:r>
            <w:r w:rsidRPr="00F452C3">
              <w:rPr>
                <w:bCs/>
              </w:rPr>
              <w:t>Голицыно</w:t>
            </w:r>
          </w:p>
        </w:tc>
      </w:tr>
      <w:tr w:rsidR="00B402CB" w:rsidRPr="00B81807" w:rsidTr="00CD0B8F">
        <w:tc>
          <w:tcPr>
            <w:tcW w:w="1101" w:type="dxa"/>
          </w:tcPr>
          <w:p w:rsidR="00B402CB" w:rsidRDefault="00B402CB" w:rsidP="006A1099">
            <w:pPr>
              <w:jc w:val="center"/>
            </w:pPr>
            <w:r>
              <w:lastRenderedPageBreak/>
              <w:t>3</w:t>
            </w:r>
          </w:p>
        </w:tc>
        <w:tc>
          <w:tcPr>
            <w:tcW w:w="8470" w:type="dxa"/>
            <w:shd w:val="clear" w:color="auto" w:fill="auto"/>
            <w:vAlign w:val="center"/>
          </w:tcPr>
          <w:p w:rsidR="00B402CB" w:rsidRDefault="00B402CB" w:rsidP="00C21521">
            <w:pPr>
              <w:autoSpaceDE w:val="0"/>
              <w:autoSpaceDN w:val="0"/>
              <w:adjustRightInd w:val="0"/>
              <w:jc w:val="center"/>
              <w:rPr>
                <w:bCs/>
              </w:rPr>
            </w:pPr>
            <w:r>
              <w:rPr>
                <w:bCs/>
              </w:rPr>
              <w:t xml:space="preserve">поселок </w:t>
            </w:r>
            <w:r w:rsidRPr="00F452C3">
              <w:rPr>
                <w:bCs/>
              </w:rPr>
              <w:t>Кириков</w:t>
            </w:r>
          </w:p>
        </w:tc>
      </w:tr>
      <w:tr w:rsidR="00B402CB" w:rsidRPr="00B81807" w:rsidTr="00CD0B8F">
        <w:tc>
          <w:tcPr>
            <w:tcW w:w="1101" w:type="dxa"/>
          </w:tcPr>
          <w:p w:rsidR="00B402CB" w:rsidRDefault="00B402CB" w:rsidP="006A1099">
            <w:pPr>
              <w:jc w:val="center"/>
            </w:pPr>
            <w:r>
              <w:t>4</w:t>
            </w:r>
          </w:p>
        </w:tc>
        <w:tc>
          <w:tcPr>
            <w:tcW w:w="8470" w:type="dxa"/>
            <w:shd w:val="clear" w:color="auto" w:fill="auto"/>
            <w:vAlign w:val="center"/>
          </w:tcPr>
          <w:p w:rsidR="00B402CB" w:rsidRDefault="00B402CB" w:rsidP="00C21521">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r>
      <w:tr w:rsidR="00B402CB" w:rsidRPr="00B81807" w:rsidTr="00CD0B8F">
        <w:tc>
          <w:tcPr>
            <w:tcW w:w="1101" w:type="dxa"/>
          </w:tcPr>
          <w:p w:rsidR="00B402CB" w:rsidRPr="00B81807" w:rsidRDefault="00B402CB" w:rsidP="006A1099">
            <w:pPr>
              <w:jc w:val="center"/>
            </w:pPr>
            <w:r>
              <w:t>5</w:t>
            </w:r>
          </w:p>
        </w:tc>
        <w:tc>
          <w:tcPr>
            <w:tcW w:w="8470" w:type="dxa"/>
            <w:shd w:val="clear" w:color="auto" w:fill="auto"/>
            <w:vAlign w:val="center"/>
          </w:tcPr>
          <w:p w:rsidR="00B402CB" w:rsidRPr="00DD08CD" w:rsidRDefault="00B402CB" w:rsidP="00C21521">
            <w:pPr>
              <w:autoSpaceDE w:val="0"/>
              <w:autoSpaceDN w:val="0"/>
              <w:adjustRightInd w:val="0"/>
              <w:jc w:val="center"/>
              <w:rPr>
                <w:bCs/>
              </w:rPr>
            </w:pPr>
            <w:r>
              <w:rPr>
                <w:bCs/>
              </w:rPr>
              <w:t>поселок Садовый</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F26BDD">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B402CB">
        <w:rPr>
          <w:bCs/>
        </w:rPr>
        <w:t xml:space="preserve">Хрущевского </w:t>
      </w:r>
      <w:r w:rsidRPr="00B81807">
        <w:rPr>
          <w:spacing w:val="-6"/>
        </w:rPr>
        <w:t>муниципального образования постепенно сокращается.</w:t>
      </w:r>
    </w:p>
    <w:p w:rsidR="00B86178" w:rsidRDefault="00B86178" w:rsidP="00FC0349">
      <w:pPr>
        <w:jc w:val="both"/>
        <w:rPr>
          <w:b/>
          <w:spacing w:val="-6"/>
        </w:rPr>
      </w:pPr>
    </w:p>
    <w:p w:rsidR="000B0652" w:rsidRDefault="000B0652"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B402CB">
        <w:rPr>
          <w:b/>
        </w:rPr>
        <w:t xml:space="preserve">Хрущевского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F26BDD">
              <w:t xml:space="preserve"> </w:t>
            </w:r>
            <w:r>
              <w:t>чел.</w:t>
            </w:r>
          </w:p>
        </w:tc>
        <w:tc>
          <w:tcPr>
            <w:tcW w:w="1298" w:type="dxa"/>
          </w:tcPr>
          <w:p w:rsidR="00B86178" w:rsidRPr="00B81807" w:rsidRDefault="00B402CB" w:rsidP="00B402CB">
            <w:pPr>
              <w:jc w:val="center"/>
            </w:pPr>
            <w:r w:rsidRPr="00B402CB">
              <w:t>1381</w:t>
            </w:r>
          </w:p>
        </w:tc>
        <w:tc>
          <w:tcPr>
            <w:tcW w:w="1465" w:type="dxa"/>
            <w:shd w:val="clear" w:color="auto" w:fill="auto"/>
          </w:tcPr>
          <w:p w:rsidR="00B86178" w:rsidRPr="00B81807" w:rsidRDefault="00B402CB" w:rsidP="006A1099">
            <w:pPr>
              <w:jc w:val="center"/>
            </w:pPr>
            <w:r w:rsidRPr="00B402CB">
              <w:t>1374</w:t>
            </w:r>
          </w:p>
        </w:tc>
        <w:tc>
          <w:tcPr>
            <w:tcW w:w="857" w:type="dxa"/>
          </w:tcPr>
          <w:p w:rsidR="00B86178" w:rsidRPr="00B81807" w:rsidRDefault="00B402CB" w:rsidP="006A1099">
            <w:pPr>
              <w:jc w:val="center"/>
            </w:pPr>
            <w:r w:rsidRPr="00B402CB">
              <w:t>1319</w:t>
            </w:r>
          </w:p>
        </w:tc>
        <w:tc>
          <w:tcPr>
            <w:tcW w:w="934" w:type="dxa"/>
          </w:tcPr>
          <w:p w:rsidR="00B86178" w:rsidRPr="00B81807" w:rsidRDefault="00B402CB" w:rsidP="006A1099">
            <w:pPr>
              <w:jc w:val="center"/>
            </w:pPr>
            <w:r w:rsidRPr="00B402CB">
              <w:t>1274</w:t>
            </w:r>
          </w:p>
        </w:tc>
        <w:tc>
          <w:tcPr>
            <w:tcW w:w="996" w:type="dxa"/>
          </w:tcPr>
          <w:p w:rsidR="00B86178" w:rsidRPr="00B81807" w:rsidRDefault="00B402CB" w:rsidP="006A1099">
            <w:pPr>
              <w:jc w:val="center"/>
            </w:pPr>
            <w:r w:rsidRPr="00B402CB">
              <w:t>1224</w:t>
            </w:r>
          </w:p>
        </w:tc>
        <w:tc>
          <w:tcPr>
            <w:tcW w:w="996" w:type="dxa"/>
          </w:tcPr>
          <w:p w:rsidR="00B86178" w:rsidRPr="00B81807" w:rsidRDefault="00B402CB" w:rsidP="006A1099">
            <w:pPr>
              <w:jc w:val="center"/>
            </w:pPr>
            <w:r w:rsidRPr="00B402CB">
              <w:t>1200</w:t>
            </w:r>
          </w:p>
        </w:tc>
        <w:tc>
          <w:tcPr>
            <w:tcW w:w="996" w:type="dxa"/>
          </w:tcPr>
          <w:p w:rsidR="000A6FFE" w:rsidRPr="00B81807" w:rsidRDefault="00B402CB" w:rsidP="006A1099">
            <w:pPr>
              <w:jc w:val="center"/>
            </w:pPr>
            <w:r w:rsidRPr="00B402CB">
              <w:t>1163</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8D7DBB" w:rsidRPr="000A6FFE" w:rsidRDefault="008D7DBB" w:rsidP="006A1099">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w:t>
            </w:r>
            <w:r w:rsidRPr="000A6FFE">
              <w:lastRenderedPageBreak/>
              <w:t>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F26BDD">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716983">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w:t>
            </w:r>
            <w:r w:rsidRPr="000A6FFE">
              <w:lastRenderedPageBreak/>
              <w:t xml:space="preserve">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1.3</w:t>
            </w:r>
          </w:p>
        </w:tc>
        <w:tc>
          <w:tcPr>
            <w:tcW w:w="2126" w:type="dxa"/>
            <w:shd w:val="clear" w:color="auto" w:fill="auto"/>
          </w:tcPr>
          <w:p w:rsidR="008D7DBB" w:rsidRPr="000A6FFE" w:rsidRDefault="008D7DBB" w:rsidP="006A1099">
            <w:pPr>
              <w:jc w:val="center"/>
            </w:pPr>
            <w:r w:rsidRPr="000A6FFE">
              <w:t>Объекты,</w:t>
            </w:r>
            <w:r w:rsidR="00F26BDD">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 xml:space="preserve">,5 м, а для инвалидов, </w:t>
            </w:r>
            <w:r w:rsidRPr="000A6FFE">
              <w:lastRenderedPageBreak/>
              <w:t>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Объекты, предназначенные для предоставления транспортных </w:t>
            </w:r>
            <w:r w:rsidRPr="000A6FFE">
              <w:lastRenderedPageBreak/>
              <w:t>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lastRenderedPageBreak/>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 xml:space="preserve">Система общественного пассажирского </w:t>
            </w:r>
            <w:r w:rsidRPr="000A6FFE">
              <w:lastRenderedPageBreak/>
              <w:t>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F26BDD">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Раздел 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B402CB">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B402CB">
              <w:rPr>
                <w:bCs/>
              </w:rPr>
              <w:t>Хрущевского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B402CB">
              <w:rPr>
                <w:bCs/>
              </w:rPr>
              <w:t>Хрущевского</w:t>
            </w:r>
            <w:r w:rsidR="00B402CB" w:rsidRPr="000A6FFE">
              <w:t xml:space="preserve"> </w:t>
            </w:r>
            <w:r w:rsidRPr="000A6FFE">
              <w:t>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F26BDD">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2CB">
              <w:rPr>
                <w:bCs/>
              </w:rPr>
              <w:t>Хрущевского</w:t>
            </w:r>
            <w:r w:rsidR="00B402CB" w:rsidRPr="000A6FFE">
              <w:t xml:space="preserve"> </w:t>
            </w:r>
            <w:r w:rsidRPr="000A6FFE">
              <w:t>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 xml:space="preserve">Расчетные показатели </w:t>
            </w:r>
            <w:r w:rsidRPr="000A6FFE">
              <w:lastRenderedPageBreak/>
              <w:t>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 xml:space="preserve">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2CB">
              <w:rPr>
                <w:bCs/>
              </w:rPr>
              <w:t>Хрущевского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2CB" w:rsidRPr="00B402CB">
              <w:t xml:space="preserve">Хрущевского </w:t>
            </w:r>
            <w:r w:rsidRPr="000A6FFE">
              <w:t>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lastRenderedPageBreak/>
              <w:t>СНиП</w:t>
            </w:r>
            <w:proofErr w:type="spellEnd"/>
            <w:r w:rsidRPr="000A6FFE">
              <w:t xml:space="preserve">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F26BDD">
              <w:t xml:space="preserve"> </w:t>
            </w:r>
            <w:r w:rsidRPr="000A6FFE">
              <w:t xml:space="preserve">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1D73C4">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w:t>
            </w:r>
            <w:r w:rsidRPr="000A6FFE">
              <w:lastRenderedPageBreak/>
              <w:t xml:space="preserve">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B402CB">
              <w:rPr>
                <w:bCs/>
              </w:rPr>
              <w:t>Хрущевского</w:t>
            </w:r>
            <w:r w:rsidR="00B402CB" w:rsidRPr="000A6FFE">
              <w:t xml:space="preserve"> </w:t>
            </w:r>
            <w:r w:rsidRPr="000A6FFE">
              <w:t>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B402CB">
      <w:pPr>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B402CB" w:rsidRPr="00B402CB">
        <w:rPr>
          <w:bCs/>
        </w:rPr>
        <w:t>Хрущевского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B402CB" w:rsidRPr="00B402CB">
        <w:rPr>
          <w:bCs/>
        </w:rPr>
        <w:t>Хрущевского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B402CB" w:rsidRPr="00B402CB">
        <w:rPr>
          <w:bCs/>
        </w:rPr>
        <w:t>Хрущевского</w:t>
      </w:r>
      <w:r w:rsidR="001D73C4">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B402CB" w:rsidRPr="00B402CB">
        <w:rPr>
          <w:bCs/>
        </w:rPr>
        <w:t>Хрущевского</w:t>
      </w:r>
      <w:r>
        <w:t xml:space="preserve"> муниципального образования </w:t>
      </w:r>
      <w:r w:rsidR="005D77F9" w:rsidRPr="005D77F9">
        <w:t>Самойловского</w:t>
      </w:r>
      <w:r>
        <w:t xml:space="preserve">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B402CB" w:rsidRPr="00B402CB">
        <w:rPr>
          <w:bCs/>
        </w:rPr>
        <w:t xml:space="preserve">Хрущевского </w:t>
      </w:r>
      <w:r>
        <w:t xml:space="preserve">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B402CB" w:rsidRPr="00B402CB">
        <w:rPr>
          <w:bCs/>
        </w:rPr>
        <w:t>Хрущевского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B402CB" w:rsidRPr="00B402CB">
        <w:t xml:space="preserve">Хрущевского </w:t>
      </w:r>
      <w:r>
        <w:t>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B402CB" w:rsidRPr="00B402CB">
        <w:rPr>
          <w:bCs/>
        </w:rPr>
        <w:t>Хрущевского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w:t>
      </w:r>
      <w:r w:rsidR="001D73C4">
        <w:t xml:space="preserve"> </w:t>
      </w:r>
      <w:r w:rsidR="00B402CB" w:rsidRPr="00B402CB">
        <w:t>Хрущевского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AA" w:rsidRDefault="00DF24AA">
      <w:r>
        <w:separator/>
      </w:r>
    </w:p>
  </w:endnote>
  <w:endnote w:type="continuationSeparator" w:id="0">
    <w:p w:rsidR="00DF24AA" w:rsidRDefault="00DF2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70" w:rsidRDefault="00822598" w:rsidP="005F379F">
    <w:pPr>
      <w:pStyle w:val="a9"/>
      <w:framePr w:wrap="auto" w:vAnchor="text" w:hAnchor="margin" w:xAlign="right" w:y="1"/>
      <w:rPr>
        <w:rStyle w:val="af3"/>
      </w:rPr>
    </w:pPr>
    <w:r>
      <w:rPr>
        <w:rStyle w:val="af3"/>
      </w:rPr>
      <w:fldChar w:fldCharType="begin"/>
    </w:r>
    <w:r w:rsidR="00A51270">
      <w:rPr>
        <w:rStyle w:val="af3"/>
      </w:rPr>
      <w:instrText xml:space="preserve">PAGE  </w:instrText>
    </w:r>
    <w:r>
      <w:rPr>
        <w:rStyle w:val="af3"/>
      </w:rPr>
      <w:fldChar w:fldCharType="separate"/>
    </w:r>
    <w:r w:rsidR="009A28FC">
      <w:rPr>
        <w:rStyle w:val="af3"/>
        <w:noProof/>
      </w:rPr>
      <w:t>2</w:t>
    </w:r>
    <w:r>
      <w:rPr>
        <w:rStyle w:val="af3"/>
      </w:rPr>
      <w:fldChar w:fldCharType="end"/>
    </w:r>
  </w:p>
  <w:p w:rsidR="00A51270" w:rsidRDefault="00A51270"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AA" w:rsidRDefault="00DF24AA">
      <w:r>
        <w:separator/>
      </w:r>
    </w:p>
  </w:footnote>
  <w:footnote w:type="continuationSeparator" w:id="0">
    <w:p w:rsidR="00DF24AA" w:rsidRDefault="00DF2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29E2"/>
    <w:rsid w:val="00012CD5"/>
    <w:rsid w:val="00022249"/>
    <w:rsid w:val="00022398"/>
    <w:rsid w:val="00024267"/>
    <w:rsid w:val="000263E0"/>
    <w:rsid w:val="000274E5"/>
    <w:rsid w:val="00027BEC"/>
    <w:rsid w:val="0003334D"/>
    <w:rsid w:val="000333AC"/>
    <w:rsid w:val="00051F92"/>
    <w:rsid w:val="00062ECB"/>
    <w:rsid w:val="000631F8"/>
    <w:rsid w:val="000673C4"/>
    <w:rsid w:val="000813CB"/>
    <w:rsid w:val="0008543E"/>
    <w:rsid w:val="00086FEA"/>
    <w:rsid w:val="00090528"/>
    <w:rsid w:val="000967F2"/>
    <w:rsid w:val="000972FC"/>
    <w:rsid w:val="000A02B6"/>
    <w:rsid w:val="000A18A7"/>
    <w:rsid w:val="000A6FFE"/>
    <w:rsid w:val="000B0652"/>
    <w:rsid w:val="000B071C"/>
    <w:rsid w:val="000C3274"/>
    <w:rsid w:val="000C5A3B"/>
    <w:rsid w:val="000C6217"/>
    <w:rsid w:val="000D0FAA"/>
    <w:rsid w:val="000D1012"/>
    <w:rsid w:val="000E618A"/>
    <w:rsid w:val="000F3515"/>
    <w:rsid w:val="001119C7"/>
    <w:rsid w:val="0011498A"/>
    <w:rsid w:val="00121265"/>
    <w:rsid w:val="00133837"/>
    <w:rsid w:val="001405F4"/>
    <w:rsid w:val="0014478F"/>
    <w:rsid w:val="001502D9"/>
    <w:rsid w:val="00156374"/>
    <w:rsid w:val="00157CF9"/>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D73C4"/>
    <w:rsid w:val="001E4662"/>
    <w:rsid w:val="001F70D9"/>
    <w:rsid w:val="00216777"/>
    <w:rsid w:val="0021695E"/>
    <w:rsid w:val="00224962"/>
    <w:rsid w:val="00225B38"/>
    <w:rsid w:val="00231862"/>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D5C11"/>
    <w:rsid w:val="002E779B"/>
    <w:rsid w:val="002E77C7"/>
    <w:rsid w:val="00305C29"/>
    <w:rsid w:val="00310255"/>
    <w:rsid w:val="003161FD"/>
    <w:rsid w:val="003227FA"/>
    <w:rsid w:val="0033000B"/>
    <w:rsid w:val="00336CCA"/>
    <w:rsid w:val="0034673E"/>
    <w:rsid w:val="00354140"/>
    <w:rsid w:val="003553D3"/>
    <w:rsid w:val="00357E7F"/>
    <w:rsid w:val="00362BCD"/>
    <w:rsid w:val="00383A19"/>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A5E"/>
    <w:rsid w:val="00424D3F"/>
    <w:rsid w:val="004303E3"/>
    <w:rsid w:val="00433F2B"/>
    <w:rsid w:val="00435D5D"/>
    <w:rsid w:val="0044171D"/>
    <w:rsid w:val="00444314"/>
    <w:rsid w:val="00444456"/>
    <w:rsid w:val="004458BC"/>
    <w:rsid w:val="00465F1F"/>
    <w:rsid w:val="004704B2"/>
    <w:rsid w:val="004777B7"/>
    <w:rsid w:val="0048154A"/>
    <w:rsid w:val="00484694"/>
    <w:rsid w:val="0049706F"/>
    <w:rsid w:val="004A146E"/>
    <w:rsid w:val="004A219B"/>
    <w:rsid w:val="004A5D82"/>
    <w:rsid w:val="004B1A6B"/>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626B"/>
    <w:rsid w:val="005873EA"/>
    <w:rsid w:val="0059105F"/>
    <w:rsid w:val="00594D43"/>
    <w:rsid w:val="005A0F46"/>
    <w:rsid w:val="005A43BF"/>
    <w:rsid w:val="005A70D1"/>
    <w:rsid w:val="005B69B9"/>
    <w:rsid w:val="005B7695"/>
    <w:rsid w:val="005C09B4"/>
    <w:rsid w:val="005D53E4"/>
    <w:rsid w:val="005D77F9"/>
    <w:rsid w:val="005E2347"/>
    <w:rsid w:val="005F379F"/>
    <w:rsid w:val="00601227"/>
    <w:rsid w:val="00614709"/>
    <w:rsid w:val="00614786"/>
    <w:rsid w:val="00616813"/>
    <w:rsid w:val="006232D9"/>
    <w:rsid w:val="00623C38"/>
    <w:rsid w:val="00631968"/>
    <w:rsid w:val="00632AB7"/>
    <w:rsid w:val="00634E9B"/>
    <w:rsid w:val="00637AD6"/>
    <w:rsid w:val="006406D8"/>
    <w:rsid w:val="00645713"/>
    <w:rsid w:val="00651804"/>
    <w:rsid w:val="00653C3A"/>
    <w:rsid w:val="00656265"/>
    <w:rsid w:val="00656890"/>
    <w:rsid w:val="0066388B"/>
    <w:rsid w:val="00664F90"/>
    <w:rsid w:val="00666627"/>
    <w:rsid w:val="00667934"/>
    <w:rsid w:val="00670DFC"/>
    <w:rsid w:val="0067736E"/>
    <w:rsid w:val="00683273"/>
    <w:rsid w:val="00692BBA"/>
    <w:rsid w:val="006946B4"/>
    <w:rsid w:val="00695898"/>
    <w:rsid w:val="006A1099"/>
    <w:rsid w:val="006B3F4C"/>
    <w:rsid w:val="006B5683"/>
    <w:rsid w:val="006C2620"/>
    <w:rsid w:val="006C7864"/>
    <w:rsid w:val="006D0057"/>
    <w:rsid w:val="006E2BF8"/>
    <w:rsid w:val="006E32A0"/>
    <w:rsid w:val="006E4AEE"/>
    <w:rsid w:val="006F43F1"/>
    <w:rsid w:val="00702845"/>
    <w:rsid w:val="00702FFD"/>
    <w:rsid w:val="0071282E"/>
    <w:rsid w:val="00712B41"/>
    <w:rsid w:val="00716983"/>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362"/>
    <w:rsid w:val="007B3F66"/>
    <w:rsid w:val="007B5516"/>
    <w:rsid w:val="007B658E"/>
    <w:rsid w:val="007C0BEC"/>
    <w:rsid w:val="007C1269"/>
    <w:rsid w:val="007C79B7"/>
    <w:rsid w:val="007D50E2"/>
    <w:rsid w:val="007E3190"/>
    <w:rsid w:val="007E3F23"/>
    <w:rsid w:val="007E545B"/>
    <w:rsid w:val="007E66BA"/>
    <w:rsid w:val="007F4ACF"/>
    <w:rsid w:val="00803C98"/>
    <w:rsid w:val="00804468"/>
    <w:rsid w:val="0080473F"/>
    <w:rsid w:val="0081233C"/>
    <w:rsid w:val="00814BFC"/>
    <w:rsid w:val="00816B0F"/>
    <w:rsid w:val="0081743D"/>
    <w:rsid w:val="00817E63"/>
    <w:rsid w:val="00821AF2"/>
    <w:rsid w:val="00822598"/>
    <w:rsid w:val="00826D80"/>
    <w:rsid w:val="008309DD"/>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04109"/>
    <w:rsid w:val="00907CF8"/>
    <w:rsid w:val="00910646"/>
    <w:rsid w:val="009136C1"/>
    <w:rsid w:val="00917CB1"/>
    <w:rsid w:val="009241D9"/>
    <w:rsid w:val="0093249B"/>
    <w:rsid w:val="00934B34"/>
    <w:rsid w:val="00936AA1"/>
    <w:rsid w:val="0094758A"/>
    <w:rsid w:val="00953A13"/>
    <w:rsid w:val="00960072"/>
    <w:rsid w:val="00970702"/>
    <w:rsid w:val="00995EAD"/>
    <w:rsid w:val="009A28FC"/>
    <w:rsid w:val="009B0CA1"/>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1270"/>
    <w:rsid w:val="00A5447B"/>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2C0"/>
    <w:rsid w:val="00B402CB"/>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F0A1A"/>
    <w:rsid w:val="00BF5042"/>
    <w:rsid w:val="00C001E1"/>
    <w:rsid w:val="00C026DE"/>
    <w:rsid w:val="00C02B4D"/>
    <w:rsid w:val="00C152F0"/>
    <w:rsid w:val="00C1572F"/>
    <w:rsid w:val="00C16232"/>
    <w:rsid w:val="00C250D0"/>
    <w:rsid w:val="00C26564"/>
    <w:rsid w:val="00C4329F"/>
    <w:rsid w:val="00C62333"/>
    <w:rsid w:val="00C670D5"/>
    <w:rsid w:val="00C80449"/>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248F"/>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DF24AA"/>
    <w:rsid w:val="00DF6DD6"/>
    <w:rsid w:val="00E10D23"/>
    <w:rsid w:val="00E16BA8"/>
    <w:rsid w:val="00E16CA7"/>
    <w:rsid w:val="00E20070"/>
    <w:rsid w:val="00E201DB"/>
    <w:rsid w:val="00E25EAF"/>
    <w:rsid w:val="00E27CAD"/>
    <w:rsid w:val="00E41407"/>
    <w:rsid w:val="00E56A48"/>
    <w:rsid w:val="00E570C9"/>
    <w:rsid w:val="00E73754"/>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BDD"/>
    <w:rsid w:val="00F26F40"/>
    <w:rsid w:val="00F30FBC"/>
    <w:rsid w:val="00F35708"/>
    <w:rsid w:val="00F42D8C"/>
    <w:rsid w:val="00F452C3"/>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B60D8"/>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362"/>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55679337">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45</Pages>
  <Words>13630</Words>
  <Characters>77691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Пользователь Windows</cp:lastModifiedBy>
  <cp:revision>81</cp:revision>
  <cp:lastPrinted>2017-09-28T07:23:00Z</cp:lastPrinted>
  <dcterms:created xsi:type="dcterms:W3CDTF">2017-05-14T13:34:00Z</dcterms:created>
  <dcterms:modified xsi:type="dcterms:W3CDTF">2017-12-26T05:32:00Z</dcterms:modified>
</cp:coreProperties>
</file>