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BC236A">
        <w:rPr>
          <w:b/>
          <w:color w:val="000000" w:themeColor="text1"/>
          <w:sz w:val="34"/>
          <w:szCs w:val="34"/>
        </w:rPr>
        <w:t xml:space="preserve"> </w:t>
      </w:r>
      <w:r w:rsidR="00336CCA">
        <w:rPr>
          <w:b/>
          <w:color w:val="000000" w:themeColor="text1"/>
          <w:sz w:val="34"/>
          <w:szCs w:val="34"/>
        </w:rPr>
        <w:t>БЛАГОВЕЩЕНСКОГО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336CCA" w:rsidP="00C250D0">
      <w:pPr>
        <w:contextualSpacing/>
        <w:jc w:val="center"/>
        <w:rPr>
          <w:b/>
          <w:color w:val="000000" w:themeColor="text1"/>
          <w:sz w:val="34"/>
          <w:szCs w:val="34"/>
        </w:rPr>
      </w:pPr>
      <w:r>
        <w:rPr>
          <w:b/>
          <w:color w:val="000000" w:themeColor="text1"/>
          <w:sz w:val="34"/>
          <w:szCs w:val="34"/>
        </w:rPr>
        <w:t>САМОЙЛОВСКОГО</w:t>
      </w:r>
      <w:r w:rsidR="00C250D0">
        <w:rPr>
          <w:b/>
          <w:color w:val="000000" w:themeColor="text1"/>
          <w:sz w:val="34"/>
          <w:szCs w:val="34"/>
        </w:rPr>
        <w:t xml:space="preserve">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1C7AA3" w:rsidP="00C250D0">
      <w:pPr>
        <w:ind w:left="851" w:right="991"/>
        <w:jc w:val="center"/>
        <w:rPr>
          <w:b/>
          <w:color w:val="404040" w:themeColor="text1" w:themeTint="BF"/>
          <w:sz w:val="48"/>
          <w:szCs w:val="48"/>
        </w:rPr>
      </w:pPr>
      <w:r w:rsidRPr="001C7AA3">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3A49BE" w:rsidRPr="0055424A" w:rsidRDefault="005C09B4" w:rsidP="003A49BE">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3A49BE" w:rsidRPr="0055424A" w:rsidRDefault="003A49BE" w:rsidP="003A49BE">
      <w:pPr>
        <w:rPr>
          <w:b/>
          <w:highlight w:val="yellow"/>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F9233C" w:rsidRDefault="00F9233C" w:rsidP="00C250D0">
      <w:pPr>
        <w:tabs>
          <w:tab w:val="left" w:pos="3270"/>
        </w:tabs>
        <w:jc w:val="center"/>
        <w:rPr>
          <w:sz w:val="28"/>
          <w:szCs w:val="28"/>
        </w:rPr>
      </w:pPr>
    </w:p>
    <w:p w:rsidR="00F9233C" w:rsidRDefault="00F9233C" w:rsidP="00C250D0">
      <w:pPr>
        <w:tabs>
          <w:tab w:val="left" w:pos="3270"/>
        </w:tabs>
        <w:jc w:val="center"/>
        <w:rPr>
          <w:sz w:val="28"/>
          <w:szCs w:val="28"/>
        </w:rPr>
      </w:pPr>
    </w:p>
    <w:p w:rsidR="00F9233C" w:rsidRDefault="00F9233C" w:rsidP="00C250D0">
      <w:pPr>
        <w:tabs>
          <w:tab w:val="left" w:pos="3270"/>
        </w:tabs>
        <w:jc w:val="center"/>
        <w:rPr>
          <w:sz w:val="28"/>
          <w:szCs w:val="28"/>
        </w:rPr>
      </w:pPr>
    </w:p>
    <w:p w:rsidR="00C250D0" w:rsidRDefault="005C09B4" w:rsidP="00C250D0">
      <w:pPr>
        <w:tabs>
          <w:tab w:val="left" w:pos="3270"/>
        </w:tabs>
        <w:jc w:val="center"/>
        <w:rPr>
          <w:sz w:val="28"/>
          <w:szCs w:val="28"/>
        </w:rPr>
      </w:pPr>
      <w:r w:rsidRPr="005C09B4">
        <w:rPr>
          <w:sz w:val="28"/>
          <w:szCs w:val="28"/>
        </w:rPr>
        <w:t>р.п. Самойловка</w:t>
      </w:r>
      <w:r w:rsidR="00C250D0">
        <w:rPr>
          <w:sz w:val="28"/>
          <w:szCs w:val="28"/>
        </w:rPr>
        <w:t>, 2017</w:t>
      </w:r>
    </w:p>
    <w:p w:rsidR="005C09B4" w:rsidRPr="0055424A" w:rsidRDefault="005C09B4" w:rsidP="00336CCA">
      <w:pPr>
        <w:rPr>
          <w:sz w:val="28"/>
          <w:szCs w:val="28"/>
          <w:highlight w:val="yellow"/>
        </w:rPr>
      </w:pPr>
    </w:p>
    <w:p w:rsidR="003A49BE" w:rsidRPr="00B40205" w:rsidRDefault="003A49BE" w:rsidP="00542B6E">
      <w:pPr>
        <w:jc w:val="center"/>
        <w:rPr>
          <w:b/>
          <w:bCs/>
          <w:sz w:val="28"/>
          <w:szCs w:val="28"/>
        </w:rPr>
      </w:pPr>
      <w:r w:rsidRPr="00B40205">
        <w:rPr>
          <w:b/>
          <w:bCs/>
          <w:sz w:val="28"/>
          <w:szCs w:val="28"/>
        </w:rPr>
        <w:t>Местные нормативы градостроительного проектирования</w:t>
      </w:r>
    </w:p>
    <w:p w:rsidR="003A49BE" w:rsidRPr="00B40205" w:rsidRDefault="007B3362" w:rsidP="00542B6E">
      <w:pPr>
        <w:jc w:val="center"/>
        <w:rPr>
          <w:sz w:val="28"/>
          <w:szCs w:val="28"/>
        </w:rPr>
      </w:pPr>
      <w:r w:rsidRPr="007B3362">
        <w:rPr>
          <w:b/>
          <w:sz w:val="28"/>
          <w:szCs w:val="28"/>
        </w:rPr>
        <w:t>Благовещенского муниципального образования Самойловского муниципального</w:t>
      </w:r>
      <w:r w:rsidR="00BC236A">
        <w:rPr>
          <w:b/>
          <w:sz w:val="28"/>
          <w:szCs w:val="28"/>
        </w:rPr>
        <w:t xml:space="preserve"> </w:t>
      </w:r>
      <w:r w:rsidR="008746A6" w:rsidRPr="008746A6">
        <w:rPr>
          <w:b/>
          <w:sz w:val="28"/>
          <w:szCs w:val="28"/>
        </w:rPr>
        <w:t xml:space="preserve">района </w:t>
      </w:r>
      <w:r w:rsidR="00542B6E">
        <w:rPr>
          <w:b/>
          <w:sz w:val="28"/>
          <w:szCs w:val="28"/>
        </w:rPr>
        <w:t>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7B3362" w:rsidP="003A49BE">
            <w:pPr>
              <w:jc w:val="both"/>
            </w:pPr>
            <w:r>
              <w:t>ИП Хохлов Евгений Владимирович</w:t>
            </w:r>
            <w:r w:rsidR="003A49BE" w:rsidRPr="00B40205">
              <w:t xml:space="preserve">  на основании  </w:t>
            </w:r>
            <w:r>
              <w:t>договора</w:t>
            </w:r>
            <w:r w:rsidR="00BC236A">
              <w:t xml:space="preserve"> </w:t>
            </w:r>
            <w:r w:rsidR="003A49BE" w:rsidRPr="00B40205">
              <w:rPr>
                <w:bCs/>
              </w:rPr>
              <w:t xml:space="preserve">на </w:t>
            </w:r>
            <w:r w:rsidR="003A49BE" w:rsidRPr="00B40205">
              <w:t xml:space="preserve"> оказание услуг по разработке проект</w:t>
            </w:r>
            <w:r w:rsidR="00542B6E">
              <w:t>ов местных нормативов градостроительного проектирования</w:t>
            </w:r>
            <w:r w:rsidR="008F4B14">
              <w:t xml:space="preserve"> от 25.09.2017 г.</w:t>
            </w:r>
            <w:r w:rsidR="00542B6E">
              <w:t xml:space="preserve">, заключенного с администрацией </w:t>
            </w:r>
            <w:r w:rsidRPr="007B3362">
              <w:t>Самойловского</w:t>
            </w:r>
            <w:r w:rsidR="00542B6E">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FC501E" w:rsidRDefault="00FC501E" w:rsidP="00FC501E">
            <w:pPr>
              <w:jc w:val="center"/>
            </w:pPr>
            <w:r>
              <w:t xml:space="preserve">Решением </w:t>
            </w:r>
            <w:r w:rsidR="00F9233C">
              <w:t>Муниципального Собрания Самойловского муниципального района Саратовской области</w:t>
            </w:r>
            <w:r w:rsidR="00D76267">
              <w:t xml:space="preserve"> </w:t>
            </w:r>
          </w:p>
          <w:p w:rsidR="003A49BE" w:rsidRPr="00B40205" w:rsidRDefault="00FC501E" w:rsidP="00F9233C">
            <w:pPr>
              <w:jc w:val="center"/>
            </w:pPr>
            <w:r>
              <w:t>от «</w:t>
            </w:r>
            <w:r w:rsidR="00F9233C">
              <w:t>25» декабря</w:t>
            </w:r>
            <w:r>
              <w:t xml:space="preserve"> 2017 г.</w:t>
            </w:r>
            <w:r w:rsidR="00D76267">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7B3362" w:rsidP="003A49BE">
      <w:pPr>
        <w:jc w:val="both"/>
        <w:rPr>
          <w:b/>
          <w:highlight w:val="yellow"/>
        </w:rPr>
      </w:pPr>
      <w:r>
        <w:rPr>
          <w:b/>
        </w:rPr>
        <w:t>Индивидуальный предприниматель                                             Е.В. Хохлов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B13D1E" w:rsidRDefault="00B13D1E" w:rsidP="007B3362">
      <w:pPr>
        <w:jc w:val="center"/>
        <w:rPr>
          <w:b/>
          <w:bCs/>
          <w:sz w:val="28"/>
          <w:szCs w:val="28"/>
        </w:rPr>
      </w:pPr>
    </w:p>
    <w:p w:rsidR="00B13D1E" w:rsidRDefault="00B13D1E" w:rsidP="007B3362">
      <w:pPr>
        <w:jc w:val="center"/>
        <w:rPr>
          <w:b/>
          <w:bCs/>
          <w:sz w:val="28"/>
          <w:szCs w:val="28"/>
        </w:rPr>
      </w:pPr>
    </w:p>
    <w:p w:rsidR="007B3362" w:rsidRPr="00B40205" w:rsidRDefault="007B3362" w:rsidP="007B3362">
      <w:pPr>
        <w:jc w:val="center"/>
        <w:rPr>
          <w:b/>
          <w:bCs/>
          <w:sz w:val="28"/>
          <w:szCs w:val="28"/>
        </w:rPr>
      </w:pPr>
      <w:r w:rsidRPr="00B40205">
        <w:rPr>
          <w:b/>
          <w:bCs/>
          <w:sz w:val="28"/>
          <w:szCs w:val="28"/>
        </w:rPr>
        <w:lastRenderedPageBreak/>
        <w:t>Местные нормативы градостроительного проектирования</w:t>
      </w:r>
    </w:p>
    <w:p w:rsidR="007B3362" w:rsidRPr="00B40205" w:rsidRDefault="007B3362" w:rsidP="007B3362">
      <w:pPr>
        <w:jc w:val="center"/>
        <w:rPr>
          <w:sz w:val="28"/>
          <w:szCs w:val="28"/>
        </w:rPr>
      </w:pPr>
      <w:r w:rsidRPr="007B3362">
        <w:rPr>
          <w:b/>
          <w:sz w:val="28"/>
          <w:szCs w:val="28"/>
        </w:rPr>
        <w:t>Благовещенского муниципального образования Самойловского муниципального</w:t>
      </w:r>
      <w:r w:rsidR="00BC236A">
        <w:rPr>
          <w:b/>
          <w:sz w:val="28"/>
          <w:szCs w:val="28"/>
        </w:rPr>
        <w:t xml:space="preserve"> </w:t>
      </w:r>
      <w:r w:rsidR="008746A6" w:rsidRPr="008746A6">
        <w:rPr>
          <w:b/>
          <w:sz w:val="28"/>
          <w:szCs w:val="28"/>
        </w:rPr>
        <w:t xml:space="preserve">района </w:t>
      </w:r>
      <w:r>
        <w:rPr>
          <w:b/>
          <w:sz w:val="28"/>
          <w:szCs w:val="28"/>
        </w:rPr>
        <w:t>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bookmarkStart w:id="1" w:name="_GoBack"/>
      <w:bookmarkEnd w:id="1"/>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7B3362" w:rsidP="007C79B7">
            <w:pPr>
              <w:rPr>
                <w:rFonts w:ascii="Times New Roman" w:hAnsi="Times New Roman"/>
              </w:rPr>
            </w:pPr>
            <w:r w:rsidRPr="007B3362">
              <w:rPr>
                <w:rFonts w:ascii="Times New Roman" w:hAnsi="Times New Roman"/>
              </w:rPr>
              <w:t>Благовещенского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7B3362" w:rsidRPr="007B3362">
              <w:rPr>
                <w:rFonts w:ascii="Times New Roman" w:hAnsi="Times New Roman"/>
              </w:rPr>
              <w:t>Благовещенск</w:t>
            </w:r>
            <w:r w:rsidR="007B3362">
              <w:rPr>
                <w:rFonts w:ascii="Times New Roman" w:hAnsi="Times New Roman"/>
              </w:rPr>
              <w:t>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7B3362" w:rsidRPr="007B3362">
              <w:rPr>
                <w:rFonts w:ascii="Times New Roman" w:hAnsi="Times New Roman"/>
              </w:rPr>
              <w:t>Благовещенского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7B3362" w:rsidRPr="007B3362">
              <w:rPr>
                <w:rFonts w:ascii="Times New Roman" w:hAnsi="Times New Roman"/>
              </w:rPr>
              <w:t>Благовещенского</w:t>
            </w:r>
            <w:r w:rsidRPr="007C79B7">
              <w:rPr>
                <w:rFonts w:ascii="Times New Roman" w:hAnsi="Times New Roman"/>
              </w:rPr>
              <w:t xml:space="preserve"> муниципального образования </w:t>
            </w:r>
            <w:r w:rsidR="007B3362" w:rsidRPr="007B3362">
              <w:rPr>
                <w:rFonts w:ascii="Times New Roman" w:hAnsi="Times New Roman"/>
              </w:rPr>
              <w:t>Самойловского</w:t>
            </w:r>
            <w:r w:rsidRPr="007C79B7">
              <w:rPr>
                <w:rFonts w:ascii="Times New Roman" w:hAnsi="Times New Roman"/>
              </w:rPr>
              <w:t xml:space="preserve">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а) в области </w:t>
            </w:r>
            <w:proofErr w:type="spellStart"/>
            <w:r w:rsidRPr="007C79B7">
              <w:rPr>
                <w:rFonts w:ascii="Times New Roman" w:hAnsi="Times New Roman"/>
              </w:rPr>
              <w:t>электро</w:t>
            </w:r>
            <w:proofErr w:type="spellEnd"/>
            <w:r w:rsidRPr="007C79B7">
              <w:rPr>
                <w:rFonts w:ascii="Times New Roman" w:hAnsi="Times New Roman"/>
              </w:rPr>
              <w:t>-, тепл</w:t>
            </w:r>
            <w:proofErr w:type="gramStart"/>
            <w:r w:rsidRPr="007C79B7">
              <w:rPr>
                <w:rFonts w:ascii="Times New Roman" w:hAnsi="Times New Roman"/>
              </w:rPr>
              <w:t>о-</w:t>
            </w:r>
            <w:proofErr w:type="gramEnd"/>
            <w:r w:rsidRPr="007C79B7">
              <w:rPr>
                <w:rFonts w:ascii="Times New Roman" w:hAnsi="Times New Roman"/>
              </w:rPr>
              <w:t xml:space="preserve">, </w:t>
            </w:r>
            <w:proofErr w:type="spellStart"/>
            <w:r w:rsidRPr="007C79B7">
              <w:rPr>
                <w:rFonts w:ascii="Times New Roman" w:hAnsi="Times New Roman"/>
              </w:rPr>
              <w:t>газо</w:t>
            </w:r>
            <w:proofErr w:type="spellEnd"/>
            <w:r w:rsidRPr="007C79B7">
              <w:rPr>
                <w:rFonts w:ascii="Times New Roman" w:hAnsi="Times New Roman"/>
              </w:rPr>
              <w:t>-,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proofErr w:type="spellStart"/>
            <w:r w:rsidRPr="007C79B7">
              <w:rPr>
                <w:rFonts w:ascii="Times New Roman" w:hAnsi="Times New Roman"/>
              </w:rPr>
              <w:t>д</w:t>
            </w:r>
            <w:proofErr w:type="spellEnd"/>
            <w:r w:rsidRPr="007C79B7">
              <w:rPr>
                <w:rFonts w:ascii="Times New Roman" w:hAnsi="Times New Roman"/>
              </w:rPr>
              <w:t>) в области деятельности органа местного самоуправления</w:t>
            </w:r>
          </w:p>
        </w:tc>
        <w:tc>
          <w:tcPr>
            <w:tcW w:w="1666" w:type="dxa"/>
          </w:tcPr>
          <w:p w:rsidR="007C79B7" w:rsidRPr="007C79B7" w:rsidRDefault="008F4B14" w:rsidP="007C79B7">
            <w:pPr>
              <w:rPr>
                <w:rFonts w:ascii="Times New Roman" w:hAnsi="Times New Roman"/>
              </w:rPr>
            </w:pPr>
            <w:r>
              <w:rPr>
                <w:rFonts w:ascii="Times New Roman" w:hAnsi="Times New Roman"/>
              </w:rPr>
              <w:t>26-27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8F4B14" w:rsidP="007C79B7">
            <w:pPr>
              <w:rPr>
                <w:rFonts w:ascii="Times New Roman" w:hAnsi="Times New Roman"/>
              </w:rPr>
            </w:pPr>
            <w:r>
              <w:rPr>
                <w:rFonts w:ascii="Times New Roman" w:hAnsi="Times New Roman"/>
              </w:rPr>
              <w:t>27-28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w:t>
            </w:r>
            <w:proofErr w:type="gramStart"/>
            <w:r w:rsidRPr="007C79B7">
              <w:rPr>
                <w:rFonts w:ascii="Times New Roman" w:hAnsi="Times New Roman"/>
              </w:rPr>
              <w:t>об</w:t>
            </w:r>
            <w:proofErr w:type="gramEnd"/>
            <w:r w:rsidRPr="007C79B7">
              <w:rPr>
                <w:rFonts w:ascii="Times New Roman" w:hAnsi="Times New Roman"/>
              </w:rPr>
              <w:t xml:space="preserve"> </w:t>
            </w:r>
            <w:r w:rsidR="007B3362" w:rsidRPr="007B3362">
              <w:rPr>
                <w:rFonts w:ascii="Times New Roman" w:hAnsi="Times New Roman"/>
              </w:rPr>
              <w:t>Благовещенск</w:t>
            </w:r>
            <w:r w:rsidR="000A6FFE">
              <w:rPr>
                <w:rFonts w:ascii="Times New Roman" w:hAnsi="Times New Roman"/>
              </w:rPr>
              <w:t>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012CD5">
            <w:pPr>
              <w:rPr>
                <w:rFonts w:ascii="Times New Roman" w:hAnsi="Times New Roman"/>
              </w:rPr>
            </w:pPr>
            <w:r w:rsidRPr="007C79B7">
              <w:rPr>
                <w:rFonts w:ascii="Times New Roman" w:hAnsi="Times New Roman"/>
              </w:rPr>
              <w:t>30-3</w:t>
            </w:r>
            <w:r w:rsidR="00012CD5">
              <w:rPr>
                <w:rFonts w:ascii="Times New Roman" w:hAnsi="Times New Roman"/>
              </w:rPr>
              <w:t>3</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03334D" w:rsidRPr="0003334D">
        <w:rPr>
          <w:rFonts w:ascii="Times New Roman" w:hAnsi="Times New Roman" w:cs="Times New Roman"/>
          <w:sz w:val="24"/>
          <w:szCs w:val="24"/>
        </w:rPr>
        <w:t>Благовещенского муниципального образования</w:t>
      </w:r>
      <w:r w:rsidR="00BC236A">
        <w:rPr>
          <w:rFonts w:ascii="Times New Roman" w:hAnsi="Times New Roman" w:cs="Times New Roman"/>
          <w:sz w:val="24"/>
          <w:szCs w:val="24"/>
        </w:rPr>
        <w:t xml:space="preserve"> </w:t>
      </w:r>
      <w:r w:rsidR="0003334D" w:rsidRPr="0003334D">
        <w:rPr>
          <w:rFonts w:ascii="Times New Roman" w:hAnsi="Times New Roman" w:cs="Times New Roman"/>
          <w:sz w:val="24"/>
          <w:szCs w:val="24"/>
        </w:rPr>
        <w:t>Самойловского муниципального района Саратовской области</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03334D">
        <w:rPr>
          <w:rFonts w:ascii="Times New Roman" w:hAnsi="Times New Roman" w:cs="Times New Roman"/>
          <w:sz w:val="24"/>
          <w:szCs w:val="24"/>
        </w:rPr>
        <w:t xml:space="preserve">заключенного договора </w:t>
      </w:r>
      <w:r w:rsidR="00E201DB" w:rsidRPr="00E201DB">
        <w:rPr>
          <w:rFonts w:ascii="Times New Roman" w:hAnsi="Times New Roman" w:cs="Times New Roman"/>
          <w:sz w:val="24"/>
          <w:szCs w:val="24"/>
        </w:rPr>
        <w:t xml:space="preserve">между </w:t>
      </w:r>
      <w:r w:rsidR="0003334D">
        <w:rPr>
          <w:rFonts w:ascii="Times New Roman" w:hAnsi="Times New Roman" w:cs="Times New Roman"/>
          <w:sz w:val="24"/>
          <w:szCs w:val="24"/>
        </w:rPr>
        <w:t>ИП Хохлов Е.В.</w:t>
      </w:r>
      <w:r w:rsidR="00E201DB" w:rsidRPr="00E201DB">
        <w:rPr>
          <w:rFonts w:ascii="Times New Roman" w:hAnsi="Times New Roman" w:cs="Times New Roman"/>
          <w:sz w:val="24"/>
          <w:szCs w:val="24"/>
        </w:rPr>
        <w:t xml:space="preserve"> и администрацией </w:t>
      </w:r>
      <w:r w:rsidR="0003334D" w:rsidRPr="0003334D">
        <w:rPr>
          <w:rFonts w:ascii="Times New Roman" w:hAnsi="Times New Roman" w:cs="Times New Roman"/>
          <w:sz w:val="24"/>
          <w:szCs w:val="24"/>
        </w:rPr>
        <w:t>Самойловского</w:t>
      </w:r>
      <w:r w:rsidR="00E201DB">
        <w:rPr>
          <w:rFonts w:ascii="Times New Roman" w:hAnsi="Times New Roman" w:cs="Times New Roman"/>
          <w:sz w:val="24"/>
          <w:szCs w:val="24"/>
        </w:rPr>
        <w:t xml:space="preserve"> муниципального района Саратовской области</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231862" w:rsidRPr="00231862">
        <w:rPr>
          <w:rFonts w:ascii="Times New Roman" w:hAnsi="Times New Roman" w:cs="Times New Roman"/>
          <w:sz w:val="24"/>
          <w:szCs w:val="24"/>
        </w:rPr>
        <w:t xml:space="preserve">Благовещенского муниципального образования </w:t>
      </w:r>
      <w:r w:rsidR="000E618A" w:rsidRPr="00D06E72">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231862" w:rsidRPr="00231862">
        <w:rPr>
          <w:rFonts w:ascii="Times New Roman" w:hAnsi="Times New Roman" w:cs="Times New Roman"/>
          <w:sz w:val="24"/>
          <w:szCs w:val="24"/>
        </w:rPr>
        <w:t xml:space="preserve">Благовещенского муниципального образования </w:t>
      </w:r>
      <w:r w:rsidR="00231862" w:rsidRPr="0003334D">
        <w:rPr>
          <w:rFonts w:ascii="Times New Roman" w:hAnsi="Times New Roman" w:cs="Times New Roman"/>
          <w:sz w:val="24"/>
          <w:szCs w:val="24"/>
        </w:rPr>
        <w:t>Самойловского муниципального района</w:t>
      </w:r>
      <w:r w:rsidR="00BC236A">
        <w:rPr>
          <w:rFonts w:ascii="Times New Roman" w:hAnsi="Times New Roman" w:cs="Times New Roman"/>
          <w:sz w:val="24"/>
          <w:szCs w:val="24"/>
        </w:rPr>
        <w:t xml:space="preserve"> </w:t>
      </w:r>
      <w:r w:rsidR="00E201DB">
        <w:rPr>
          <w:rFonts w:ascii="Times New Roman" w:hAnsi="Times New Roman" w:cs="Times New Roman"/>
          <w:sz w:val="24"/>
          <w:szCs w:val="24"/>
        </w:rPr>
        <w:t>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231862" w:rsidRPr="00231862">
        <w:rPr>
          <w:rFonts w:ascii="Times New Roman" w:hAnsi="Times New Roman" w:cs="Times New Roman"/>
          <w:sz w:val="24"/>
          <w:szCs w:val="24"/>
        </w:rPr>
        <w:t>Благовещенского муниципального образования</w:t>
      </w:r>
      <w:r w:rsidR="00BC236A">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xml:space="preserve">)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00231862" w:rsidRPr="00231862">
        <w:rPr>
          <w:rFonts w:ascii="Times New Roman" w:hAnsi="Times New Roman" w:cs="Times New Roman"/>
          <w:sz w:val="24"/>
          <w:szCs w:val="24"/>
        </w:rPr>
        <w:t>Благовещенского муниципального образования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231862" w:rsidRPr="00231862">
        <w:rPr>
          <w:rFonts w:ascii="Times New Roman" w:hAnsi="Times New Roman" w:cs="Times New Roman"/>
          <w:sz w:val="24"/>
          <w:szCs w:val="24"/>
        </w:rPr>
        <w:t>Самойловского муниципального района</w:t>
      </w:r>
      <w:r w:rsidR="00DA4A6C">
        <w:rPr>
          <w:rFonts w:ascii="Times New Roman" w:hAnsi="Times New Roman" w:cs="Times New Roman"/>
          <w:sz w:val="24"/>
          <w:szCs w:val="24"/>
        </w:rPr>
        <w:t xml:space="preserve">, </w:t>
      </w:r>
      <w:r w:rsidR="00231862" w:rsidRPr="00231862">
        <w:rPr>
          <w:rFonts w:ascii="Times New Roman" w:hAnsi="Times New Roman" w:cs="Times New Roman"/>
          <w:sz w:val="24"/>
          <w:szCs w:val="24"/>
        </w:rPr>
        <w:t>Благовещенского муниципального образования</w:t>
      </w:r>
      <w:r w:rsidRPr="00000E22">
        <w:rPr>
          <w:rFonts w:ascii="Times New Roman" w:hAnsi="Times New Roman" w:cs="Times New Roman"/>
          <w:sz w:val="24"/>
          <w:szCs w:val="24"/>
        </w:rPr>
        <w:t xml:space="preserve">, гражданам, включая инвалидов и другие </w:t>
      </w:r>
      <w:proofErr w:type="spellStart"/>
      <w:r w:rsidRPr="00000E22">
        <w:rPr>
          <w:rFonts w:ascii="Times New Roman" w:hAnsi="Times New Roman" w:cs="Times New Roman"/>
          <w:sz w:val="24"/>
          <w:szCs w:val="24"/>
        </w:rPr>
        <w:t>маломобильные</w:t>
      </w:r>
      <w:proofErr w:type="spellEnd"/>
      <w:r w:rsidRPr="00000E22">
        <w:rPr>
          <w:rFonts w:ascii="Times New Roman" w:hAnsi="Times New Roman" w:cs="Times New Roman"/>
          <w:sz w:val="24"/>
          <w:szCs w:val="24"/>
        </w:rPr>
        <w:t xml:space="preserve">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231862" w:rsidRPr="00231862">
        <w:rPr>
          <w:rFonts w:ascii="Times New Roman" w:hAnsi="Times New Roman" w:cs="Times New Roman"/>
          <w:sz w:val="24"/>
          <w:szCs w:val="24"/>
        </w:rPr>
        <w:t>Благовещенского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xml:space="preserve">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231862" w:rsidRPr="00231862">
        <w:rPr>
          <w:rFonts w:ascii="Times New Roman" w:hAnsi="Times New Roman" w:cs="Times New Roman"/>
          <w:sz w:val="24"/>
          <w:szCs w:val="24"/>
        </w:rPr>
        <w:t>Благовещенского муниципального образования</w:t>
      </w:r>
      <w:r w:rsidR="00DA4A6C">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31862" w:rsidRPr="00231862">
        <w:rPr>
          <w:rFonts w:ascii="Times New Roman" w:hAnsi="Times New Roman" w:cs="Times New Roman"/>
          <w:sz w:val="24"/>
          <w:szCs w:val="24"/>
        </w:rPr>
        <w:t>Благовещенского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BC236A">
        <w:t xml:space="preserve"> </w:t>
      </w:r>
      <w:r w:rsidR="00231862" w:rsidRPr="00231862">
        <w:t>Благовещенского муниципального образования Самойловского муниципального района</w:t>
      </w:r>
      <w:r w:rsidR="00DA4A6C">
        <w:t xml:space="preserve">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1C7AA3"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D133D" w:rsidRPr="002334BB">
                <w:t>ГрК</w:t>
              </w:r>
              <w:proofErr w:type="spellEnd"/>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1C7AA3"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231862" w:rsidRPr="00231862">
              <w:t xml:space="preserve">Благовещенского </w:t>
            </w:r>
            <w:r w:rsidR="00DA4A6C">
              <w:t xml:space="preserve">муниципального образования, местные нормативы градостроительного проектирования </w:t>
            </w:r>
            <w:r w:rsidR="00231862" w:rsidRPr="00231862">
              <w:t>Благовещенского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231862" w:rsidRPr="00231862">
              <w:t xml:space="preserve">Благовещенского муниципального образования Самойловского муниципального района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BC236A">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231862" w:rsidRPr="00231862">
        <w:t>Благовещенского муниципального образования Самойловского муниципального района</w:t>
      </w:r>
      <w:r w:rsidR="00DA4A6C">
        <w:t xml:space="preserve">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 xml:space="preserve">ившейся застройке </w:t>
      </w:r>
      <w:r w:rsidR="00594D43">
        <w:lastRenderedPageBreak/>
        <w:t>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 xml:space="preserve">нные для хранения или </w:t>
      </w:r>
      <w:proofErr w:type="spellStart"/>
      <w:r w:rsidR="007635FD">
        <w:rPr>
          <w:lang w:eastAsia="en-US"/>
        </w:rPr>
        <w:t>паркирова</w:t>
      </w:r>
      <w:r>
        <w:rPr>
          <w:lang w:eastAsia="en-US"/>
        </w:rPr>
        <w:t>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231862" w:rsidRPr="00231862">
        <w:t>Благовещенского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BC236A">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231862" w:rsidP="007635FD">
      <w:pPr>
        <w:pStyle w:val="ab"/>
        <w:jc w:val="center"/>
        <w:rPr>
          <w:b/>
          <w:sz w:val="24"/>
          <w:szCs w:val="24"/>
        </w:rPr>
      </w:pPr>
      <w:r w:rsidRPr="00231862">
        <w:rPr>
          <w:b/>
          <w:sz w:val="24"/>
          <w:szCs w:val="24"/>
        </w:rPr>
        <w:t xml:space="preserve">Благовещенского муниципального образования </w:t>
      </w:r>
      <w:r w:rsidR="001B5DB8" w:rsidRPr="00190FFB">
        <w:rPr>
          <w:b/>
          <w:sz w:val="24"/>
          <w:szCs w:val="24"/>
        </w:rPr>
        <w:t>для установления совокупности расчетных</w:t>
      </w:r>
      <w:r w:rsidR="00BC236A">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proofErr w:type="spellStart"/>
      <w:r w:rsidR="006F43F1">
        <w:t>ГрК</w:t>
      </w:r>
      <w:proofErr w:type="spellEnd"/>
      <w:r w:rsidR="006F43F1">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 xml:space="preserve">Определение перечня объектов местного значения поселения основывается на п. 4 ст. 29.2 </w:t>
      </w:r>
      <w:proofErr w:type="spellStart"/>
      <w:r w:rsidR="00224962" w:rsidRPr="00B81807">
        <w:t>ГрК</w:t>
      </w:r>
      <w:proofErr w:type="spellEnd"/>
      <w:r w:rsidR="00224962" w:rsidRPr="00B81807">
        <w:t xml:space="preserve">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 xml:space="preserve">1)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lastRenderedPageBreak/>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9136C1" w:rsidRPr="009136C1">
        <w:t xml:space="preserve">Благовещенского муниципального образования </w:t>
      </w:r>
      <w:r w:rsidR="00224962" w:rsidRPr="00B81807">
        <w:t>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9136C1" w:rsidRPr="009136C1">
        <w:t>Благовещенского</w:t>
      </w:r>
      <w:r w:rsidRPr="00B81807">
        <w:t xml:space="preserve"> муниципального образования.</w:t>
      </w:r>
    </w:p>
    <w:p w:rsidR="00224962" w:rsidRDefault="00E91778" w:rsidP="009136C1">
      <w:pPr>
        <w:spacing w:line="236" w:lineRule="auto"/>
        <w:ind w:right="200" w:firstLine="708"/>
        <w:jc w:val="both"/>
      </w:pPr>
      <w:r>
        <w:rPr>
          <w:lang w:eastAsia="en-US"/>
        </w:rPr>
        <w:t xml:space="preserve">1.16. </w:t>
      </w:r>
      <w:r w:rsidR="00224962">
        <w:t xml:space="preserve">В соответствии со ст. 3 Устава </w:t>
      </w:r>
      <w:r w:rsidR="009136C1" w:rsidRPr="009136C1">
        <w:t>Благовещенского муниципального образования</w:t>
      </w:r>
      <w:r w:rsidR="009136C1">
        <w:t>, принятого решением</w:t>
      </w:r>
      <w:r w:rsidR="00BC236A">
        <w:t xml:space="preserve"> </w:t>
      </w:r>
      <w:r w:rsidR="009136C1">
        <w:t>сельского Совета Благовещенского муниципального образования от 24 ноября 2005 г. № 7</w:t>
      </w:r>
      <w:r w:rsidR="00224962">
        <w:t>(с учетом изменений и дополнений</w:t>
      </w:r>
      <w:r w:rsidR="000A6FFE">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 xml:space="preserve">1) </w:t>
      </w:r>
      <w:r w:rsidR="0003334D" w:rsidRPr="0003334D">
        <w:rPr>
          <w:i/>
        </w:rPr>
        <w:t xml:space="preserve">составление и рассмотрение проекта бюджета поселения, утверждение и исполнение бюджета поселения, осуществление </w:t>
      </w:r>
      <w:proofErr w:type="gramStart"/>
      <w:r w:rsidR="0003334D" w:rsidRPr="0003334D">
        <w:rPr>
          <w:i/>
        </w:rPr>
        <w:t>контроля за</w:t>
      </w:r>
      <w:proofErr w:type="gramEnd"/>
      <w:r w:rsidR="0003334D" w:rsidRPr="0003334D">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w:t>
      </w:r>
      <w:r>
        <w:lastRenderedPageBreak/>
        <w:t>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w:t>
      </w:r>
      <w:r>
        <w:lastRenderedPageBreak/>
        <w:t>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03334D">
        <w:rPr>
          <w:i/>
        </w:rPr>
        <w:t>поселения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w:t>
      </w:r>
      <w:r w:rsidR="00BC236A">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lastRenderedPageBreak/>
        <w:tab/>
        <w:t xml:space="preserve">В </w:t>
      </w:r>
      <w:r w:rsidR="00224962">
        <w:t>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BC236A">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BC236A">
        <w:rPr>
          <w:b/>
        </w:rPr>
        <w:t xml:space="preserve"> </w:t>
      </w:r>
      <w:r w:rsidR="009136C1" w:rsidRPr="009136C1">
        <w:rPr>
          <w:b/>
        </w:rPr>
        <w:t>Благовещенского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9136C1" w:rsidRPr="009136C1">
        <w:t>Благовещенского</w:t>
      </w:r>
      <w:r w:rsidR="00BC236A">
        <w:t xml:space="preserve"> </w:t>
      </w:r>
      <w:r w:rsidR="00DD0385" w:rsidRPr="002334BB">
        <w:t xml:space="preserve">муниципального образования </w:t>
      </w:r>
      <w:r w:rsidR="009136C1" w:rsidRPr="009136C1">
        <w:t>Самойловского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BC236A">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w:t>
      </w:r>
      <w:r w:rsidR="00BC236A">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BC236A">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BC236A">
        <w:t xml:space="preserve"> </w:t>
      </w:r>
      <w:r w:rsidR="002334BB">
        <w:t>стандартов и сводов правил), в результате применения которых на обязательной</w:t>
      </w:r>
      <w:r w:rsidR="00BC236A">
        <w:t xml:space="preserve"> </w:t>
      </w:r>
      <w:r w:rsidR="002334BB">
        <w:t>основе обеспечивается соблюдение требований федерального закона «Технический</w:t>
      </w:r>
      <w:r w:rsidR="00BC236A">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BC236A">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BC236A">
        <w:t xml:space="preserve"> </w:t>
      </w:r>
      <w:r w:rsidR="002334BB">
        <w:t xml:space="preserve">основах охраны здоровья </w:t>
      </w:r>
      <w:r w:rsidR="002334BB">
        <w:lastRenderedPageBreak/>
        <w:t>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BC236A">
        <w:rPr>
          <w:b/>
        </w:rPr>
        <w:t xml:space="preserve"> </w:t>
      </w:r>
      <w:r>
        <w:rPr>
          <w:b/>
        </w:rPr>
        <w:t>нормативные</w:t>
      </w:r>
      <w:r w:rsidR="00BC236A">
        <w:rPr>
          <w:b/>
        </w:rPr>
        <w:t xml:space="preserve"> </w:t>
      </w:r>
      <w:r>
        <w:rPr>
          <w:b/>
        </w:rPr>
        <w:t>правовые</w:t>
      </w:r>
      <w:r w:rsidR="00BC236A">
        <w:rPr>
          <w:b/>
        </w:rPr>
        <w:t xml:space="preserve"> </w:t>
      </w:r>
      <w:r>
        <w:rPr>
          <w:b/>
        </w:rPr>
        <w:t>акты</w:t>
      </w:r>
      <w:r w:rsidR="00BC236A">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5D77F9" w:rsidRDefault="005D77F9" w:rsidP="005D77F9">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sidR="00012CD5">
        <w:rPr>
          <w:lang w:eastAsia="en-US"/>
        </w:rPr>
        <w:t>Самойловского</w:t>
      </w:r>
      <w:r>
        <w:rPr>
          <w:lang w:eastAsia="en-US"/>
        </w:rPr>
        <w:t xml:space="preserve"> муниципального района»;</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w:t>
      </w:r>
      <w:r w:rsidR="005D77F9">
        <w:rPr>
          <w:lang w:eastAsia="en-US"/>
        </w:rPr>
        <w:t xml:space="preserve"> РНГП Саратовской области).</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5D77F9" w:rsidRPr="005D77F9">
        <w:rPr>
          <w:b/>
          <w:lang w:eastAsia="en-US"/>
        </w:rPr>
        <w:t>Благовещенского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5D77F9" w:rsidRPr="005D77F9">
        <w:t>Благовещенского</w:t>
      </w:r>
      <w:r w:rsidR="00BC236A">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5D77F9" w:rsidRPr="005D77F9">
        <w:t>Благовещенского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5D77F9" w:rsidRPr="005D77F9">
        <w:rPr>
          <w:b/>
        </w:rPr>
        <w:t>Благовещенского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 xml:space="preserve">В области </w:t>
            </w:r>
            <w:proofErr w:type="spellStart"/>
            <w:r w:rsidRPr="00695898">
              <w:rPr>
                <w:rFonts w:ascii="Times New Roman" w:hAnsi="Times New Roman"/>
                <w:b/>
                <w:lang w:eastAsia="en-US"/>
              </w:rPr>
              <w:t>электро</w:t>
            </w:r>
            <w:proofErr w:type="spellEnd"/>
            <w:r w:rsidRPr="00695898">
              <w:rPr>
                <w:rFonts w:ascii="Times New Roman" w:hAnsi="Times New Roman"/>
                <w:b/>
                <w:lang w:eastAsia="en-US"/>
              </w:rPr>
              <w:t>-,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xml:space="preserve">, </w:t>
            </w:r>
            <w:proofErr w:type="spellStart"/>
            <w:r w:rsidRPr="00695898">
              <w:rPr>
                <w:rFonts w:ascii="Times New Roman" w:hAnsi="Times New Roman"/>
                <w:b/>
                <w:lang w:eastAsia="en-US"/>
              </w:rPr>
              <w:t>газо</w:t>
            </w:r>
            <w:proofErr w:type="spellEnd"/>
            <w:r w:rsidRPr="00695898">
              <w:rPr>
                <w:rFonts w:ascii="Times New Roman" w:hAnsi="Times New Roman"/>
                <w:b/>
                <w:lang w:eastAsia="en-US"/>
              </w:rPr>
              <w:t>-,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учреждение культурно - </w:t>
            </w:r>
            <w:proofErr w:type="spellStart"/>
            <w:r w:rsidRPr="00695898">
              <w:rPr>
                <w:rFonts w:ascii="Times New Roman" w:hAnsi="Times New Roman"/>
                <w:lang w:eastAsia="en-US"/>
              </w:rPr>
              <w:t>досугового</w:t>
            </w:r>
            <w:proofErr w:type="spellEnd"/>
            <w:r w:rsidRPr="00695898">
              <w:rPr>
                <w:rFonts w:ascii="Times New Roman" w:hAnsi="Times New Roman"/>
                <w:lang w:eastAsia="en-US"/>
              </w:rPr>
              <w:t xml:space="preserve">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5D77F9" w:rsidRPr="005D77F9">
              <w:rPr>
                <w:rFonts w:ascii="Times New Roman" w:hAnsi="Times New Roman"/>
              </w:rPr>
              <w:t>Благовещенского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BC236A">
        <w:rPr>
          <w:b/>
          <w:bCs/>
          <w:sz w:val="24"/>
          <w:szCs w:val="24"/>
        </w:rPr>
        <w:t xml:space="preserve"> </w:t>
      </w:r>
      <w:r w:rsidR="005D77F9" w:rsidRPr="005D77F9">
        <w:rPr>
          <w:b/>
          <w:bCs/>
          <w:sz w:val="24"/>
          <w:szCs w:val="24"/>
        </w:rPr>
        <w:t>Благовещенского</w:t>
      </w:r>
      <w:r w:rsidR="00DE586B">
        <w:rPr>
          <w:b/>
          <w:bCs/>
          <w:sz w:val="24"/>
          <w:szCs w:val="24"/>
        </w:rPr>
        <w:t xml:space="preserve"> муниципального образования </w:t>
      </w:r>
      <w:r w:rsidR="005D77F9" w:rsidRPr="005D77F9">
        <w:rPr>
          <w:b/>
          <w:bCs/>
          <w:sz w:val="24"/>
          <w:szCs w:val="24"/>
        </w:rPr>
        <w:t>Самойловского</w:t>
      </w:r>
      <w:r w:rsidR="00DE586B">
        <w:rPr>
          <w:b/>
          <w:bCs/>
          <w:sz w:val="24"/>
          <w:szCs w:val="24"/>
        </w:rPr>
        <w:t xml:space="preserve">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w:t>
      </w:r>
      <w:proofErr w:type="spellStart"/>
      <w:r w:rsidR="00DE586B" w:rsidRPr="00DE586B">
        <w:rPr>
          <w:rFonts w:ascii="Times New Roman" w:hAnsi="Times New Roman" w:cs="Times New Roman"/>
          <w:sz w:val="24"/>
          <w:szCs w:val="24"/>
        </w:rPr>
        <w:t>электро</w:t>
      </w:r>
      <w:proofErr w:type="spellEnd"/>
      <w:r w:rsidR="00DE586B" w:rsidRPr="00DE586B">
        <w:rPr>
          <w:rFonts w:ascii="Times New Roman" w:hAnsi="Times New Roman" w:cs="Times New Roman"/>
          <w:sz w:val="24"/>
          <w:szCs w:val="24"/>
        </w:rPr>
        <w:t>-,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xml:space="preserve">, </w:t>
      </w:r>
      <w:proofErr w:type="spellStart"/>
      <w:r w:rsidR="00DE586B" w:rsidRPr="00DE586B">
        <w:rPr>
          <w:rFonts w:ascii="Times New Roman" w:hAnsi="Times New Roman" w:cs="Times New Roman"/>
          <w:sz w:val="24"/>
          <w:szCs w:val="24"/>
        </w:rPr>
        <w:t>газо</w:t>
      </w:r>
      <w:proofErr w:type="spellEnd"/>
      <w:r w:rsidR="00DE586B" w:rsidRPr="00DE586B">
        <w:rPr>
          <w:rFonts w:ascii="Times New Roman" w:hAnsi="Times New Roman" w:cs="Times New Roman"/>
          <w:sz w:val="24"/>
          <w:szCs w:val="24"/>
        </w:rPr>
        <w:t>-,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w:t>
            </w:r>
            <w:proofErr w:type="spellStart"/>
            <w:proofErr w:type="gramStart"/>
            <w:r w:rsidR="002971A4">
              <w:rPr>
                <w:b/>
                <w:sz w:val="22"/>
                <w:szCs w:val="22"/>
              </w:rPr>
              <w:t>п</w:t>
            </w:r>
            <w:proofErr w:type="spellEnd"/>
            <w:proofErr w:type="gramEnd"/>
            <w:r w:rsidR="002971A4">
              <w:rPr>
                <w:b/>
                <w:sz w:val="22"/>
                <w:szCs w:val="22"/>
              </w:rPr>
              <w:t>/</w:t>
            </w:r>
            <w:proofErr w:type="spellStart"/>
            <w:r w:rsidR="002971A4">
              <w:rPr>
                <w:b/>
                <w:sz w:val="22"/>
                <w:szCs w:val="22"/>
              </w:rPr>
              <w:t>п</w:t>
            </w:r>
            <w:proofErr w:type="spellEnd"/>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BC236A">
        <w:rPr>
          <w:i/>
        </w:rPr>
        <w:t xml:space="preserve"> </w:t>
      </w:r>
      <w:r w:rsidR="000A18A7" w:rsidRPr="000A18A7">
        <w:rPr>
          <w:i/>
        </w:rPr>
        <w:t>уровня обеспеченности объектами, следует использовать норму минимальной обеспеченности</w:t>
      </w:r>
      <w:r w:rsidR="00BC236A">
        <w:rPr>
          <w:i/>
        </w:rPr>
        <w:t xml:space="preserve"> </w:t>
      </w:r>
      <w:r w:rsidR="000A18A7" w:rsidRPr="000A18A7">
        <w:rPr>
          <w:i/>
        </w:rPr>
        <w:t>населения (территории) соответствующим ресурсом и характеристики планируемых к</w:t>
      </w:r>
      <w:r w:rsidR="00BC236A">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BC236A">
        <w:rPr>
          <w:i/>
        </w:rPr>
        <w:t xml:space="preserve"> </w:t>
      </w:r>
      <w:r w:rsidR="000A18A7" w:rsidRPr="000A18A7">
        <w:rPr>
          <w:i/>
        </w:rPr>
        <w:t>проектирования в качестве укрупнённых показателей расхода (потребления) газа при расчётной</w:t>
      </w:r>
      <w:r w:rsidR="00BC236A">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BC236A">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w:t>
            </w:r>
            <w:proofErr w:type="spellStart"/>
            <w:proofErr w:type="gramStart"/>
            <w:r w:rsidR="00444456" w:rsidRPr="00444456">
              <w:rPr>
                <w:b/>
                <w:color w:val="000000"/>
              </w:rPr>
              <w:t>п</w:t>
            </w:r>
            <w:proofErr w:type="spellEnd"/>
            <w:proofErr w:type="gramEnd"/>
            <w:r w:rsidR="00444456" w:rsidRPr="00444456">
              <w:rPr>
                <w:b/>
                <w:color w:val="000000"/>
              </w:rPr>
              <w:t>/</w:t>
            </w:r>
            <w:proofErr w:type="spellStart"/>
            <w:r w:rsidR="00444456" w:rsidRPr="00444456">
              <w:rPr>
                <w:b/>
                <w:color w:val="000000"/>
              </w:rPr>
              <w:t>п</w:t>
            </w:r>
            <w:proofErr w:type="spellEnd"/>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BC236A">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BC236A">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7B3362" w:rsidRPr="007B3362" w:rsidRDefault="007B3362" w:rsidP="007B3362">
            <w:pPr>
              <w:jc w:val="center"/>
              <w:rPr>
                <w:bCs/>
              </w:rPr>
            </w:pPr>
            <w:r>
              <w:rPr>
                <w:bCs/>
              </w:rPr>
              <w:t>село Благовещенка</w:t>
            </w:r>
          </w:p>
          <w:p w:rsidR="007B3362" w:rsidRPr="007B3362" w:rsidRDefault="007B3362" w:rsidP="007B3362">
            <w:pPr>
              <w:jc w:val="center"/>
              <w:rPr>
                <w:bCs/>
              </w:rPr>
            </w:pPr>
            <w:r>
              <w:rPr>
                <w:bCs/>
              </w:rPr>
              <w:t>село Александровка</w:t>
            </w:r>
          </w:p>
          <w:p w:rsidR="00D46681" w:rsidRPr="00A01F25" w:rsidRDefault="007B3362" w:rsidP="007B3362">
            <w:pPr>
              <w:jc w:val="center"/>
              <w:rPr>
                <w:lang w:eastAsia="en-US"/>
              </w:rPr>
            </w:pPr>
            <w:r>
              <w:rPr>
                <w:bCs/>
              </w:rPr>
              <w:t xml:space="preserve">деревня </w:t>
            </w:r>
            <w:proofErr w:type="gramStart"/>
            <w:r>
              <w:rPr>
                <w:bCs/>
              </w:rPr>
              <w:t>Елизаветино</w:t>
            </w:r>
            <w:proofErr w:type="gramEnd"/>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5D77F9" w:rsidP="00884794">
            <w:pPr>
              <w:jc w:val="center"/>
              <w:rPr>
                <w:lang w:eastAsia="en-US"/>
              </w:rPr>
            </w:pPr>
            <w:r>
              <w:t>Благовещенское</w:t>
            </w:r>
            <w:r w:rsidR="00BC236A">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022249">
            <w:pPr>
              <w:jc w:val="center"/>
            </w:pPr>
            <w:r>
              <w:t xml:space="preserve">Не более 30 </w:t>
            </w:r>
          </w:p>
        </w:tc>
        <w:tc>
          <w:tcPr>
            <w:tcW w:w="2578" w:type="dxa"/>
          </w:tcPr>
          <w:p w:rsidR="007B3362" w:rsidRPr="007B3362" w:rsidRDefault="007B3362" w:rsidP="007B3362">
            <w:pPr>
              <w:jc w:val="center"/>
              <w:rPr>
                <w:bCs/>
              </w:rPr>
            </w:pPr>
            <w:r w:rsidRPr="007B3362">
              <w:rPr>
                <w:bCs/>
              </w:rPr>
              <w:t>село Благовещенка</w:t>
            </w:r>
          </w:p>
          <w:p w:rsidR="007B3362" w:rsidRPr="007B3362" w:rsidRDefault="007B3362" w:rsidP="007B3362">
            <w:pPr>
              <w:jc w:val="center"/>
              <w:rPr>
                <w:bCs/>
              </w:rPr>
            </w:pPr>
            <w:r w:rsidRPr="007B3362">
              <w:rPr>
                <w:bCs/>
              </w:rPr>
              <w:t>село Александровка</w:t>
            </w:r>
          </w:p>
          <w:p w:rsidR="000A6FFE" w:rsidRPr="00A01F25" w:rsidRDefault="007B3362" w:rsidP="007B3362">
            <w:pPr>
              <w:jc w:val="center"/>
              <w:rPr>
                <w:lang w:eastAsia="en-US"/>
              </w:rPr>
            </w:pPr>
            <w:r w:rsidRPr="007B3362">
              <w:rPr>
                <w:bCs/>
              </w:rPr>
              <w:t xml:space="preserve">деревня </w:t>
            </w:r>
            <w:proofErr w:type="gramStart"/>
            <w:r w:rsidRPr="007B3362">
              <w:rPr>
                <w:bCs/>
              </w:rPr>
              <w:t>Елизаветино</w:t>
            </w:r>
            <w:proofErr w:type="gramEnd"/>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484694">
            <w:pPr>
              <w:jc w:val="center"/>
            </w:pPr>
            <w:r>
              <w:rPr>
                <w:sz w:val="22"/>
              </w:rPr>
              <w:t>70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9136C1">
            <w:pPr>
              <w:jc w:val="center"/>
            </w:pPr>
            <w:r>
              <w:t xml:space="preserve">Не более 30 </w:t>
            </w:r>
          </w:p>
        </w:tc>
        <w:tc>
          <w:tcPr>
            <w:tcW w:w="2578" w:type="dxa"/>
          </w:tcPr>
          <w:p w:rsidR="007B3362" w:rsidRPr="007B3362" w:rsidRDefault="007B3362" w:rsidP="007B3362">
            <w:pPr>
              <w:jc w:val="center"/>
              <w:rPr>
                <w:bCs/>
              </w:rPr>
            </w:pPr>
            <w:r w:rsidRPr="007B3362">
              <w:rPr>
                <w:bCs/>
              </w:rPr>
              <w:t>село Благовещенка</w:t>
            </w:r>
          </w:p>
          <w:p w:rsidR="007B3362" w:rsidRPr="007B3362" w:rsidRDefault="007B3362" w:rsidP="007B3362">
            <w:pPr>
              <w:jc w:val="center"/>
              <w:rPr>
                <w:bCs/>
              </w:rPr>
            </w:pPr>
            <w:r w:rsidRPr="007B3362">
              <w:rPr>
                <w:bCs/>
              </w:rPr>
              <w:t>село Александровка</w:t>
            </w:r>
          </w:p>
          <w:p w:rsidR="000A6FFE" w:rsidRPr="00A01F25" w:rsidRDefault="007B3362" w:rsidP="007B3362">
            <w:pPr>
              <w:jc w:val="center"/>
              <w:rPr>
                <w:lang w:eastAsia="en-US"/>
              </w:rPr>
            </w:pPr>
            <w:r w:rsidRPr="007B3362">
              <w:rPr>
                <w:bCs/>
              </w:rPr>
              <w:t xml:space="preserve">деревня </w:t>
            </w:r>
            <w:proofErr w:type="gramStart"/>
            <w:r w:rsidRPr="007B3362">
              <w:rPr>
                <w:bCs/>
              </w:rPr>
              <w:t>Елизаветино</w:t>
            </w:r>
            <w:proofErr w:type="gramEnd"/>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5D77F9" w:rsidP="00484694">
            <w:pPr>
              <w:spacing w:after="200" w:line="276" w:lineRule="auto"/>
              <w:jc w:val="center"/>
              <w:rPr>
                <w:lang w:eastAsia="en-US"/>
              </w:rPr>
            </w:pPr>
            <w:r>
              <w:t>Благовещенское</w:t>
            </w:r>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A6FFE" w:rsidRDefault="000A6FFE"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5D77F9" w:rsidP="005D77F9">
            <w:pPr>
              <w:spacing w:after="200" w:line="276" w:lineRule="auto"/>
              <w:jc w:val="center"/>
              <w:rPr>
                <w:lang w:eastAsia="en-US"/>
              </w:rPr>
            </w:pPr>
            <w:r w:rsidRPr="009136C1">
              <w:t>Благовещенско</w:t>
            </w:r>
            <w:r>
              <w:t xml:space="preserve">е </w:t>
            </w:r>
            <w:r w:rsidR="000A6FFE">
              <w:t>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7B3362" w:rsidP="009136C1">
            <w:pPr>
              <w:spacing w:after="200" w:line="276" w:lineRule="auto"/>
              <w:jc w:val="center"/>
              <w:rPr>
                <w:lang w:eastAsia="en-US"/>
              </w:rPr>
            </w:pPr>
            <w:r w:rsidRPr="007B3362">
              <w:t>Благовещенское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0"/>
        <w:gridCol w:w="2411"/>
        <w:gridCol w:w="1800"/>
        <w:gridCol w:w="1924"/>
        <w:gridCol w:w="2879"/>
        <w:gridCol w:w="3745"/>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BC236A" w:rsidP="00484694">
            <w:pPr>
              <w:jc w:val="center"/>
              <w:rPr>
                <w:b/>
              </w:rPr>
            </w:pPr>
            <w:r w:rsidRPr="00487417">
              <w:rPr>
                <w:b/>
                <w:sz w:val="22"/>
                <w:szCs w:val="22"/>
              </w:rPr>
              <w:t>И</w:t>
            </w:r>
            <w:r w:rsidR="00796502" w:rsidRPr="00487417">
              <w:rPr>
                <w:b/>
                <w:sz w:val="22"/>
                <w:szCs w:val="22"/>
              </w:rPr>
              <w:t>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A6FFE">
            <w:pPr>
              <w:jc w:val="center"/>
            </w:pPr>
            <w:r>
              <w:rPr>
                <w:sz w:val="22"/>
              </w:rPr>
              <w:t xml:space="preserve">Помещения Администрации </w:t>
            </w:r>
            <w:r w:rsidR="005D77F9" w:rsidRPr="005D77F9">
              <w:rPr>
                <w:sz w:val="22"/>
              </w:rPr>
              <w:t>Благовещенского</w:t>
            </w:r>
            <w:r w:rsidR="00BC236A">
              <w:rPr>
                <w:sz w:val="22"/>
              </w:rPr>
              <w:t xml:space="preserve">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12CD5" w:rsidP="00484694">
            <w:pPr>
              <w:widowControl w:val="0"/>
              <w:autoSpaceDE w:val="0"/>
              <w:autoSpaceDN w:val="0"/>
              <w:adjustRightInd w:val="0"/>
              <w:contextualSpacing/>
              <w:jc w:val="center"/>
            </w:pPr>
            <w:r>
              <w:rPr>
                <w:sz w:val="22"/>
                <w:szCs w:val="22"/>
              </w:rPr>
              <w:t>не нормируется</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r w:rsidR="00670DFC">
              <w:rPr>
                <w:sz w:val="22"/>
              </w:rPr>
              <w:t xml:space="preserve"> (рекомендуемая)</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BC236A">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5D77F9" w:rsidP="005D77F9">
            <w:pPr>
              <w:spacing w:after="200" w:line="276" w:lineRule="auto"/>
              <w:jc w:val="center"/>
              <w:rPr>
                <w:lang w:eastAsia="en-US"/>
              </w:rPr>
            </w:pPr>
            <w:r w:rsidRPr="005D77F9">
              <w:t>Благовещенско</w:t>
            </w:r>
            <w:r>
              <w:t>е</w:t>
            </w:r>
            <w:r w:rsidR="000A6FFE">
              <w:t xml:space="preserve">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5D77F9" w:rsidP="009136C1">
            <w:pPr>
              <w:spacing w:after="200" w:line="276" w:lineRule="auto"/>
              <w:jc w:val="center"/>
              <w:rPr>
                <w:lang w:eastAsia="en-US"/>
              </w:rPr>
            </w:pPr>
            <w:r>
              <w:t>Благовещенское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70DFC"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5D77F9" w:rsidRPr="005D77F9">
              <w:rPr>
                <w:rFonts w:ascii="Times New Roman" w:hAnsi="Times New Roman" w:cs="Times New Roman"/>
              </w:rPr>
              <w:t xml:space="preserve">Благовещенского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670DFC" w:rsidP="006A1099">
            <w:pPr>
              <w:jc w:val="center"/>
              <w:rPr>
                <w:rFonts w:ascii="Times New Roman" w:hAnsi="Times New Roman" w:cs="Times New Roman"/>
              </w:rPr>
            </w:pPr>
            <w:r>
              <w:rPr>
                <w:rFonts w:ascii="Times New Roman" w:hAnsi="Times New Roman" w:cs="Times New Roman"/>
              </w:rPr>
              <w:t>м</w:t>
            </w:r>
            <w:proofErr w:type="gramStart"/>
            <w:r w:rsidR="00B86178" w:rsidRPr="00B86178">
              <w:rPr>
                <w:rFonts w:ascii="Times New Roman" w:hAnsi="Times New Roman" w:cs="Times New Roman"/>
                <w:vertAlign w:val="superscript"/>
              </w:rPr>
              <w:t>2</w:t>
            </w:r>
            <w:proofErr w:type="gramEnd"/>
            <w:r w:rsidR="00B86178">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w:t>
      </w:r>
      <w:proofErr w:type="gramStart"/>
      <w:r w:rsidRPr="00DD08CD">
        <w:rPr>
          <w:b/>
          <w:spacing w:val="-6"/>
        </w:rPr>
        <w:t>об</w:t>
      </w:r>
      <w:proofErr w:type="gramEnd"/>
      <w:r w:rsidRPr="00DD08CD">
        <w:rPr>
          <w:b/>
          <w:spacing w:val="-6"/>
        </w:rPr>
        <w:t xml:space="preserve"> </w:t>
      </w:r>
      <w:r w:rsidR="00904109" w:rsidRPr="00904109">
        <w:rPr>
          <w:b/>
          <w:spacing w:val="-6"/>
        </w:rPr>
        <w:t>Благовещенско</w:t>
      </w:r>
      <w:r w:rsidR="00904109">
        <w:rPr>
          <w:b/>
          <w:spacing w:val="-6"/>
        </w:rPr>
        <w:t>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7B3362" w:rsidRDefault="00B86178" w:rsidP="007B3362">
      <w:pPr>
        <w:ind w:firstLine="708"/>
        <w:jc w:val="both"/>
        <w:rPr>
          <w:spacing w:val="-6"/>
        </w:rPr>
      </w:pPr>
      <w:r>
        <w:rPr>
          <w:spacing w:val="-6"/>
        </w:rPr>
        <w:t xml:space="preserve">3.1. </w:t>
      </w:r>
      <w:r w:rsidR="00904109" w:rsidRPr="00904109">
        <w:rPr>
          <w:spacing w:val="-6"/>
        </w:rPr>
        <w:t>Благовещенско</w:t>
      </w:r>
      <w:r w:rsidR="00904109">
        <w:rPr>
          <w:spacing w:val="-6"/>
        </w:rPr>
        <w:t>е</w:t>
      </w:r>
      <w:r w:rsidRPr="00DD08CD">
        <w:rPr>
          <w:spacing w:val="-6"/>
        </w:rPr>
        <w:t xml:space="preserve"> муниципальное образование — сельское поселение в </w:t>
      </w:r>
      <w:proofErr w:type="spellStart"/>
      <w:r w:rsidR="007B3362" w:rsidRPr="007B3362">
        <w:rPr>
          <w:spacing w:val="-6"/>
        </w:rPr>
        <w:t>Самойловско</w:t>
      </w:r>
      <w:r w:rsidR="007B3362">
        <w:rPr>
          <w:spacing w:val="-6"/>
        </w:rPr>
        <w:t>м</w:t>
      </w:r>
      <w:proofErr w:type="spellEnd"/>
      <w:r w:rsidR="00BC236A">
        <w:rPr>
          <w:spacing w:val="-6"/>
        </w:rPr>
        <w:t xml:space="preserve"> </w:t>
      </w:r>
      <w:r w:rsidRPr="00DD08CD">
        <w:rPr>
          <w:spacing w:val="-6"/>
        </w:rPr>
        <w:t xml:space="preserve">районе Саратовской области. </w:t>
      </w:r>
      <w:r w:rsidR="007B3362" w:rsidRPr="007B3362">
        <w:rPr>
          <w:spacing w:val="-6"/>
        </w:rPr>
        <w:t xml:space="preserve">Расстояние от центра </w:t>
      </w:r>
      <w:r w:rsidR="007B3362">
        <w:rPr>
          <w:spacing w:val="-6"/>
        </w:rPr>
        <w:t>муниципального образования</w:t>
      </w:r>
      <w:r w:rsidR="007B3362" w:rsidRPr="007B3362">
        <w:rPr>
          <w:spacing w:val="-6"/>
        </w:rPr>
        <w:t xml:space="preserve"> до районного центра – 51 км</w:t>
      </w:r>
      <w:r w:rsidR="007B3362">
        <w:rPr>
          <w:spacing w:val="-6"/>
        </w:rPr>
        <w:t>.</w:t>
      </w:r>
    </w:p>
    <w:p w:rsidR="00B86178" w:rsidRDefault="00B86178" w:rsidP="007B3362">
      <w:pPr>
        <w:ind w:firstLine="708"/>
        <w:jc w:val="both"/>
        <w:rPr>
          <w:bCs/>
        </w:rPr>
      </w:pPr>
      <w:r>
        <w:rPr>
          <w:bCs/>
        </w:rPr>
        <w:t xml:space="preserve">  3.2. </w:t>
      </w:r>
      <w:r w:rsidRPr="0049706F">
        <w:rPr>
          <w:bCs/>
        </w:rPr>
        <w:t xml:space="preserve">Пространственная организация территории </w:t>
      </w:r>
      <w:r w:rsidR="00904109" w:rsidRPr="00904109">
        <w:rPr>
          <w:bCs/>
        </w:rPr>
        <w:t>Благовещенского</w:t>
      </w:r>
      <w:r w:rsidR="00BC236A">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007B3362" w:rsidRPr="007B3362">
        <w:rPr>
          <w:bCs/>
        </w:rPr>
        <w:t xml:space="preserve">Законом Саратовской области 29 декабря 2004 г. №116-ЗСО «О муниципальных образованиях, входящих в состав </w:t>
      </w:r>
      <w:r w:rsidR="00012CD5">
        <w:rPr>
          <w:bCs/>
        </w:rPr>
        <w:t>Самойловского</w:t>
      </w:r>
      <w:r w:rsidR="007B3362" w:rsidRPr="007B3362">
        <w:rPr>
          <w:bCs/>
        </w:rPr>
        <w:t xml:space="preserve"> муниципального района»</w:t>
      </w:r>
      <w:r w:rsidR="007B3362">
        <w:rPr>
          <w:bCs/>
        </w:rPr>
        <w:t>.</w:t>
      </w:r>
    </w:p>
    <w:p w:rsidR="00B86178" w:rsidRPr="00DD08CD" w:rsidRDefault="00B86178" w:rsidP="00B86178">
      <w:pPr>
        <w:autoSpaceDE w:val="0"/>
        <w:autoSpaceDN w:val="0"/>
        <w:adjustRightInd w:val="0"/>
        <w:ind w:firstLine="567"/>
        <w:jc w:val="both"/>
        <w:rPr>
          <w:bCs/>
        </w:rPr>
      </w:pPr>
      <w:r>
        <w:rPr>
          <w:bCs/>
        </w:rPr>
        <w:t xml:space="preserve"> 3.3. </w:t>
      </w:r>
      <w:r w:rsidR="007B3362" w:rsidRPr="007B3362">
        <w:rPr>
          <w:bCs/>
        </w:rPr>
        <w:t>Благовещенское</w:t>
      </w:r>
      <w:r w:rsidRPr="00DD08CD">
        <w:rPr>
          <w:bCs/>
        </w:rPr>
        <w:t xml:space="preserve"> муниципальное образование со статусом сельского поселения входит в состав </w:t>
      </w:r>
      <w:r w:rsidR="007B3362" w:rsidRPr="007B3362">
        <w:rPr>
          <w:bCs/>
        </w:rPr>
        <w:t>Самойловского</w:t>
      </w:r>
      <w:r w:rsidRPr="00DD08CD">
        <w:rPr>
          <w:bCs/>
        </w:rPr>
        <w:t xml:space="preserve">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w:t>
      </w:r>
      <w:r w:rsidR="007B3362" w:rsidRPr="007B3362">
        <w:rPr>
          <w:bCs/>
        </w:rPr>
        <w:t xml:space="preserve">Саратовской области 29 декабря 2004 г. №116-ЗСО «О муниципальных образованиях, входящих в состав </w:t>
      </w:r>
      <w:r w:rsidR="00012CD5" w:rsidRPr="00012CD5">
        <w:rPr>
          <w:bCs/>
        </w:rPr>
        <w:t>Самойловского</w:t>
      </w:r>
      <w:r w:rsidR="007B3362" w:rsidRPr="007B3362">
        <w:rPr>
          <w:bCs/>
        </w:rPr>
        <w:t xml:space="preserve"> муниципального района»</w:t>
      </w:r>
      <w:r w:rsidRPr="00DD08CD">
        <w:rPr>
          <w:bCs/>
        </w:rPr>
        <w:t xml:space="preserve">.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7B3362" w:rsidRPr="007B3362">
        <w:rPr>
          <w:bCs/>
        </w:rPr>
        <w:t>Благовещенское</w:t>
      </w:r>
      <w:r w:rsidRPr="00DD08CD">
        <w:rPr>
          <w:bCs/>
        </w:rPr>
        <w:t xml:space="preserve"> муниципальное образование </w:t>
      </w:r>
      <w:r w:rsidR="007B3362" w:rsidRPr="007B3362">
        <w:rPr>
          <w:bCs/>
        </w:rPr>
        <w:t>Самойловского</w:t>
      </w:r>
      <w:r w:rsidRPr="00DD08CD">
        <w:rPr>
          <w:bCs/>
        </w:rPr>
        <w:t xml:space="preserve"> муниципального района Саратовской области.</w:t>
      </w:r>
    </w:p>
    <w:p w:rsidR="006B3F4C" w:rsidRDefault="00B86178" w:rsidP="006B3F4C">
      <w:pPr>
        <w:autoSpaceDE w:val="0"/>
        <w:autoSpaceDN w:val="0"/>
        <w:adjustRightInd w:val="0"/>
        <w:ind w:left="567" w:firstLine="60"/>
        <w:jc w:val="both"/>
        <w:rPr>
          <w:bCs/>
        </w:rPr>
      </w:pPr>
      <w:r>
        <w:rPr>
          <w:bCs/>
        </w:rPr>
        <w:t xml:space="preserve">3.6. </w:t>
      </w:r>
      <w:r w:rsidRPr="00DD08CD">
        <w:rPr>
          <w:bCs/>
        </w:rPr>
        <w:t xml:space="preserve">В состав </w:t>
      </w:r>
      <w:r w:rsidR="006B3F4C" w:rsidRPr="006B3F4C">
        <w:rPr>
          <w:bCs/>
        </w:rPr>
        <w:t>Благовещенского</w:t>
      </w:r>
      <w:r w:rsidRPr="00DD08CD">
        <w:rPr>
          <w:bCs/>
        </w:rPr>
        <w:t xml:space="preserve"> м</w:t>
      </w:r>
      <w:r w:rsidR="00022249">
        <w:rPr>
          <w:bCs/>
        </w:rPr>
        <w:t>униципального образования входят</w:t>
      </w:r>
      <w:r w:rsidR="00BC236A">
        <w:rPr>
          <w:bCs/>
        </w:rPr>
        <w:t xml:space="preserve"> </w:t>
      </w:r>
      <w:r w:rsidR="00022249">
        <w:rPr>
          <w:bCs/>
        </w:rPr>
        <w:t>населенные пункты</w:t>
      </w:r>
      <w:r w:rsidRPr="00DD08CD">
        <w:rPr>
          <w:bCs/>
        </w:rPr>
        <w:t xml:space="preserve">: </w:t>
      </w:r>
    </w:p>
    <w:p w:rsidR="006B3F4C" w:rsidRPr="006B3F4C" w:rsidRDefault="006B3F4C" w:rsidP="006B3F4C">
      <w:pPr>
        <w:autoSpaceDE w:val="0"/>
        <w:autoSpaceDN w:val="0"/>
        <w:adjustRightInd w:val="0"/>
        <w:ind w:left="567" w:firstLine="60"/>
        <w:jc w:val="both"/>
        <w:rPr>
          <w:bCs/>
        </w:rPr>
      </w:pPr>
      <w:r w:rsidRPr="006B3F4C">
        <w:rPr>
          <w:bCs/>
        </w:rPr>
        <w:t>1) село Благовещенка;</w:t>
      </w:r>
    </w:p>
    <w:p w:rsidR="006B3F4C" w:rsidRPr="006B3F4C" w:rsidRDefault="006B3F4C" w:rsidP="006B3F4C">
      <w:pPr>
        <w:autoSpaceDE w:val="0"/>
        <w:autoSpaceDN w:val="0"/>
        <w:adjustRightInd w:val="0"/>
        <w:ind w:firstLine="567"/>
        <w:jc w:val="both"/>
        <w:rPr>
          <w:bCs/>
        </w:rPr>
      </w:pPr>
      <w:r w:rsidRPr="006B3F4C">
        <w:rPr>
          <w:bCs/>
        </w:rPr>
        <w:t>2) село Александровка;</w:t>
      </w:r>
    </w:p>
    <w:p w:rsidR="00B86178" w:rsidRDefault="006B3F4C" w:rsidP="006B3F4C">
      <w:pPr>
        <w:autoSpaceDE w:val="0"/>
        <w:autoSpaceDN w:val="0"/>
        <w:adjustRightInd w:val="0"/>
        <w:ind w:firstLine="567"/>
        <w:jc w:val="both"/>
        <w:rPr>
          <w:bCs/>
        </w:rPr>
      </w:pPr>
      <w:r w:rsidRPr="006B3F4C">
        <w:rPr>
          <w:bCs/>
        </w:rPr>
        <w:t xml:space="preserve">3) деревня </w:t>
      </w:r>
      <w:proofErr w:type="gramStart"/>
      <w:r w:rsidRPr="006B3F4C">
        <w:rPr>
          <w:bCs/>
        </w:rPr>
        <w:t>Елизаветино</w:t>
      </w:r>
      <w:proofErr w:type="gramEnd"/>
      <w:r w:rsidRPr="006B3F4C">
        <w:rPr>
          <w:bCs/>
        </w:rPr>
        <w:t>.</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BC236A">
        <w:rPr>
          <w:b/>
          <w:bCs/>
        </w:rPr>
        <w:t xml:space="preserve"> </w:t>
      </w:r>
      <w:r w:rsidR="00357E7F" w:rsidRPr="00357E7F">
        <w:rPr>
          <w:b/>
          <w:bCs/>
        </w:rPr>
        <w:t>Благовещенск</w:t>
      </w:r>
      <w:r w:rsidR="000A6FFE">
        <w:rPr>
          <w:b/>
          <w:bCs/>
        </w:rPr>
        <w:t>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3C7338">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357E7F">
            <w:pPr>
              <w:autoSpaceDE w:val="0"/>
              <w:autoSpaceDN w:val="0"/>
              <w:adjustRightInd w:val="0"/>
              <w:jc w:val="center"/>
              <w:rPr>
                <w:b/>
                <w:bCs/>
              </w:rPr>
            </w:pPr>
            <w:r>
              <w:rPr>
                <w:b/>
                <w:bCs/>
              </w:rPr>
              <w:t>Численность населения на 01.01.201</w:t>
            </w:r>
            <w:r w:rsidR="00357E7F">
              <w:rPr>
                <w:b/>
                <w:bCs/>
              </w:rPr>
              <w:t>7</w:t>
            </w:r>
            <w:r>
              <w:rPr>
                <w:b/>
                <w:bCs/>
              </w:rPr>
              <w:t xml:space="preserve">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357E7F" w:rsidP="006A1099">
            <w:pPr>
              <w:autoSpaceDE w:val="0"/>
              <w:autoSpaceDN w:val="0"/>
              <w:adjustRightInd w:val="0"/>
              <w:jc w:val="center"/>
              <w:rPr>
                <w:bCs/>
              </w:rPr>
            </w:pPr>
            <w:r w:rsidRPr="00357E7F">
              <w:rPr>
                <w:bCs/>
              </w:rPr>
              <w:t xml:space="preserve">Благовещенское </w:t>
            </w:r>
            <w:r w:rsidR="00E812DA"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E812DA" w:rsidP="00022249">
            <w:pPr>
              <w:autoSpaceDE w:val="0"/>
              <w:autoSpaceDN w:val="0"/>
              <w:adjustRightInd w:val="0"/>
              <w:jc w:val="center"/>
              <w:rPr>
                <w:bCs/>
              </w:rPr>
            </w:pPr>
            <w:r>
              <w:rPr>
                <w:bCs/>
              </w:rPr>
              <w:t xml:space="preserve">село </w:t>
            </w:r>
            <w:r w:rsidR="00357E7F" w:rsidRPr="00357E7F">
              <w:rPr>
                <w:bCs/>
              </w:rPr>
              <w:t>Благовещенка</w:t>
            </w:r>
          </w:p>
        </w:tc>
        <w:tc>
          <w:tcPr>
            <w:tcW w:w="2126" w:type="dxa"/>
            <w:tcMar>
              <w:left w:w="28" w:type="dxa"/>
              <w:right w:w="28" w:type="dxa"/>
            </w:tcMar>
            <w:vAlign w:val="center"/>
          </w:tcPr>
          <w:p w:rsidR="00E812DA" w:rsidRPr="00DD08CD" w:rsidRDefault="00E812DA" w:rsidP="009136C1">
            <w:pPr>
              <w:autoSpaceDE w:val="0"/>
              <w:autoSpaceDN w:val="0"/>
              <w:adjustRightInd w:val="0"/>
              <w:jc w:val="center"/>
              <w:rPr>
                <w:bCs/>
              </w:rPr>
            </w:pPr>
            <w:r>
              <w:rPr>
                <w:bCs/>
              </w:rPr>
              <w:t xml:space="preserve">село </w:t>
            </w:r>
            <w:r w:rsidR="00357E7F" w:rsidRPr="00357E7F">
              <w:rPr>
                <w:bCs/>
              </w:rPr>
              <w:t>Благовещенка</w:t>
            </w:r>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357E7F" w:rsidP="00357E7F">
            <w:pPr>
              <w:autoSpaceDE w:val="0"/>
              <w:autoSpaceDN w:val="0"/>
              <w:adjustRightInd w:val="0"/>
              <w:jc w:val="both"/>
              <w:rPr>
                <w:bCs/>
              </w:rPr>
            </w:pPr>
            <w:r>
              <w:rPr>
                <w:bCs/>
              </w:rPr>
              <w:t>871</w:t>
            </w:r>
            <w:r w:rsidR="00E812DA">
              <w:rPr>
                <w:bCs/>
              </w:rPr>
              <w:t xml:space="preserve"> чел.</w:t>
            </w:r>
          </w:p>
        </w:tc>
      </w:tr>
      <w:tr w:rsidR="00790370" w:rsidRPr="00DD08CD" w:rsidTr="00B86178">
        <w:trPr>
          <w:trHeight w:val="20"/>
          <w:jc w:val="center"/>
        </w:trPr>
        <w:tc>
          <w:tcPr>
            <w:tcW w:w="1445"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418"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559"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2126" w:type="dxa"/>
            <w:tcMar>
              <w:left w:w="28" w:type="dxa"/>
              <w:right w:w="28" w:type="dxa"/>
            </w:tcMar>
            <w:vAlign w:val="center"/>
          </w:tcPr>
          <w:p w:rsidR="00790370" w:rsidRPr="00DD08CD" w:rsidRDefault="00BC236A" w:rsidP="00E812DA">
            <w:pPr>
              <w:autoSpaceDE w:val="0"/>
              <w:autoSpaceDN w:val="0"/>
              <w:adjustRightInd w:val="0"/>
              <w:jc w:val="center"/>
              <w:rPr>
                <w:bCs/>
              </w:rPr>
            </w:pPr>
            <w:r>
              <w:rPr>
                <w:bCs/>
              </w:rPr>
              <w:t>Д</w:t>
            </w:r>
            <w:r w:rsidR="00357E7F">
              <w:rPr>
                <w:bCs/>
              </w:rPr>
              <w:t>еревня</w:t>
            </w:r>
            <w:r>
              <w:rPr>
                <w:bCs/>
              </w:rPr>
              <w:t xml:space="preserve"> </w:t>
            </w:r>
            <w:proofErr w:type="gramStart"/>
            <w:r w:rsidR="00357E7F" w:rsidRPr="00357E7F">
              <w:rPr>
                <w:bCs/>
              </w:rPr>
              <w:t>Елизаветино</w:t>
            </w:r>
            <w:proofErr w:type="gramEnd"/>
          </w:p>
        </w:tc>
        <w:tc>
          <w:tcPr>
            <w:tcW w:w="1276" w:type="dxa"/>
            <w:tcMar>
              <w:left w:w="28" w:type="dxa"/>
              <w:right w:w="28" w:type="dxa"/>
            </w:tcMar>
            <w:vAlign w:val="center"/>
          </w:tcPr>
          <w:p w:rsidR="00790370" w:rsidRPr="00DD08CD" w:rsidRDefault="00357E7F" w:rsidP="006A1099">
            <w:pPr>
              <w:autoSpaceDE w:val="0"/>
              <w:autoSpaceDN w:val="0"/>
              <w:adjustRightInd w:val="0"/>
              <w:ind w:firstLine="567"/>
              <w:rPr>
                <w:bCs/>
              </w:rPr>
            </w:pPr>
            <w:r>
              <w:rPr>
                <w:bCs/>
              </w:rPr>
              <w:t>5,1</w:t>
            </w:r>
          </w:p>
        </w:tc>
        <w:tc>
          <w:tcPr>
            <w:tcW w:w="1276"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r>
      <w:tr w:rsidR="00E812DA" w:rsidRPr="00DD08CD" w:rsidTr="009136C1">
        <w:trPr>
          <w:trHeight w:val="868"/>
          <w:jc w:val="center"/>
        </w:trPr>
        <w:tc>
          <w:tcPr>
            <w:tcW w:w="1445"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418"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559"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2126" w:type="dxa"/>
            <w:tcMar>
              <w:left w:w="28" w:type="dxa"/>
              <w:right w:w="28" w:type="dxa"/>
            </w:tcMar>
            <w:vAlign w:val="center"/>
          </w:tcPr>
          <w:p w:rsidR="00E812DA" w:rsidRPr="00DD08CD" w:rsidRDefault="00E812DA" w:rsidP="006A1099">
            <w:pPr>
              <w:autoSpaceDE w:val="0"/>
              <w:autoSpaceDN w:val="0"/>
              <w:adjustRightInd w:val="0"/>
              <w:jc w:val="center"/>
              <w:rPr>
                <w:bCs/>
              </w:rPr>
            </w:pPr>
            <w:r>
              <w:rPr>
                <w:bCs/>
              </w:rPr>
              <w:t xml:space="preserve">село </w:t>
            </w:r>
            <w:r w:rsidR="00357E7F" w:rsidRPr="00357E7F">
              <w:rPr>
                <w:bCs/>
              </w:rPr>
              <w:t>Александровка</w:t>
            </w:r>
          </w:p>
        </w:tc>
        <w:tc>
          <w:tcPr>
            <w:tcW w:w="1276" w:type="dxa"/>
            <w:tcMar>
              <w:left w:w="28" w:type="dxa"/>
              <w:right w:w="28" w:type="dxa"/>
            </w:tcMar>
            <w:vAlign w:val="center"/>
          </w:tcPr>
          <w:p w:rsidR="00E812DA" w:rsidRPr="00DD08CD" w:rsidRDefault="00357E7F" w:rsidP="006A1099">
            <w:pPr>
              <w:autoSpaceDE w:val="0"/>
              <w:autoSpaceDN w:val="0"/>
              <w:adjustRightInd w:val="0"/>
              <w:ind w:firstLine="567"/>
              <w:rPr>
                <w:bCs/>
              </w:rPr>
            </w:pPr>
            <w:r>
              <w:rPr>
                <w:bCs/>
              </w:rPr>
              <w:t>8,5</w:t>
            </w:r>
          </w:p>
        </w:tc>
        <w:tc>
          <w:tcPr>
            <w:tcW w:w="1276"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E812DA" w:rsidP="002C72DC">
            <w:pPr>
              <w:autoSpaceDE w:val="0"/>
              <w:autoSpaceDN w:val="0"/>
              <w:adjustRightInd w:val="0"/>
              <w:ind w:firstLine="567"/>
              <w:jc w:val="both"/>
              <w:rPr>
                <w:bCs/>
              </w:rPr>
            </w:pPr>
            <w:r>
              <w:rPr>
                <w:bCs/>
              </w:rPr>
              <w:t>3</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00A5447B" w:rsidRPr="00A5447B">
        <w:rPr>
          <w:bCs/>
        </w:rPr>
        <w:t xml:space="preserve">Территория </w:t>
      </w:r>
      <w:r w:rsidR="00A5447B">
        <w:rPr>
          <w:bCs/>
        </w:rPr>
        <w:t>муниципального образования</w:t>
      </w:r>
      <w:r w:rsidR="00A5447B" w:rsidRPr="00A5447B">
        <w:rPr>
          <w:bCs/>
        </w:rPr>
        <w:t xml:space="preserve">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w:t>
      </w:r>
      <w:r w:rsidR="00A5447B" w:rsidRPr="00A5447B">
        <w:rPr>
          <w:bCs/>
        </w:rPr>
        <w:lastRenderedPageBreak/>
        <w:t xml:space="preserve">пород </w:t>
      </w:r>
      <w:proofErr w:type="gramStart"/>
      <w:r w:rsidR="00A5447B" w:rsidRPr="00A5447B">
        <w:rPr>
          <w:bCs/>
        </w:rPr>
        <w:t>от</w:t>
      </w:r>
      <w:proofErr w:type="gramEnd"/>
      <w:r w:rsidR="00A5447B" w:rsidRPr="00A5447B">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A5447B" w:rsidRPr="00A5447B">
        <w:rPr>
          <w:bCs/>
        </w:rPr>
        <w:t>Рязано-Саратовским</w:t>
      </w:r>
      <w:proofErr w:type="spellEnd"/>
      <w:r w:rsidR="00A5447B" w:rsidRPr="00A5447B">
        <w:rPr>
          <w:bCs/>
        </w:rPr>
        <w:t xml:space="preserve"> прогибом, разделяющим </w:t>
      </w:r>
      <w:proofErr w:type="gramStart"/>
      <w:r w:rsidR="00A5447B" w:rsidRPr="00A5447B">
        <w:rPr>
          <w:bCs/>
        </w:rPr>
        <w:t>Воронежский</w:t>
      </w:r>
      <w:proofErr w:type="gramEnd"/>
      <w:r w:rsidR="00A5447B" w:rsidRPr="00A5447B">
        <w:rPr>
          <w:bCs/>
        </w:rPr>
        <w:t xml:space="preserve"> и </w:t>
      </w:r>
      <w:proofErr w:type="spellStart"/>
      <w:r w:rsidR="00A5447B" w:rsidRPr="00A5447B">
        <w:rPr>
          <w:bCs/>
        </w:rPr>
        <w:t>Токмовский</w:t>
      </w:r>
      <w:proofErr w:type="spellEnd"/>
      <w:r w:rsidR="00A5447B" w:rsidRPr="00A5447B">
        <w:rPr>
          <w:bCs/>
        </w:rPr>
        <w:t xml:space="preserve"> своды.</w:t>
      </w:r>
    </w:p>
    <w:p w:rsidR="00B86178" w:rsidRDefault="00B86178" w:rsidP="00B86178">
      <w:pPr>
        <w:autoSpaceDE w:val="0"/>
        <w:autoSpaceDN w:val="0"/>
        <w:adjustRightInd w:val="0"/>
        <w:ind w:firstLine="567"/>
        <w:jc w:val="both"/>
        <w:rPr>
          <w:bCs/>
        </w:rPr>
      </w:pPr>
      <w:r>
        <w:rPr>
          <w:bCs/>
        </w:rPr>
        <w:t xml:space="preserve">3.8. </w:t>
      </w:r>
      <w:r w:rsidR="00A5447B" w:rsidRPr="00A5447B">
        <w:rPr>
          <w:bCs/>
        </w:rPr>
        <w:t>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804468" w:rsidRPr="00804468">
        <w:rPr>
          <w:bCs/>
        </w:rPr>
        <w:t>Благовещенского</w:t>
      </w:r>
      <w:r w:rsidR="00BC236A">
        <w:rPr>
          <w:bCs/>
        </w:rPr>
        <w:t xml:space="preserve"> </w:t>
      </w:r>
      <w:r>
        <w:rPr>
          <w:bCs/>
        </w:rPr>
        <w:t>муниципального образования</w:t>
      </w:r>
      <w:r w:rsidRPr="00B81807">
        <w:rPr>
          <w:bCs/>
        </w:rPr>
        <w:t xml:space="preserve"> характерен </w:t>
      </w:r>
      <w:r w:rsidR="00804468" w:rsidRPr="00804468">
        <w:rPr>
          <w:bCs/>
        </w:rPr>
        <w:t xml:space="preserve">умеренно континентальный </w:t>
      </w:r>
      <w:r w:rsidR="00804468">
        <w:rPr>
          <w:bCs/>
        </w:rPr>
        <w:t xml:space="preserve"> климат </w:t>
      </w:r>
      <w:r w:rsidR="00804468" w:rsidRPr="00804468">
        <w:rPr>
          <w:bCs/>
        </w:rPr>
        <w:t>с жарким летом и холодной зимой.</w:t>
      </w:r>
      <w:r w:rsidR="00BC236A">
        <w:rPr>
          <w:bCs/>
        </w:rPr>
        <w:t xml:space="preserve"> </w:t>
      </w:r>
      <w:r w:rsidR="00804468"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804468" w:rsidRPr="00804468" w:rsidRDefault="00804468" w:rsidP="00804468">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04468" w:rsidRPr="00804468" w:rsidRDefault="00804468" w:rsidP="00804468">
      <w:pPr>
        <w:autoSpaceDE w:val="0"/>
        <w:autoSpaceDN w:val="0"/>
        <w:adjustRightInd w:val="0"/>
        <w:ind w:firstLine="567"/>
        <w:jc w:val="both"/>
        <w:rPr>
          <w:bCs/>
        </w:rPr>
      </w:pPr>
      <w:r w:rsidRPr="00804468">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804468" w:rsidRDefault="00804468" w:rsidP="00804468">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601227" w:rsidRPr="00601227" w:rsidRDefault="00601227" w:rsidP="00601227">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601227" w:rsidRPr="00601227" w:rsidRDefault="00601227" w:rsidP="00601227">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601227" w:rsidRPr="00601227" w:rsidRDefault="00601227" w:rsidP="00601227">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601227" w:rsidRPr="00601227" w:rsidRDefault="00B86178" w:rsidP="00601227">
      <w:pPr>
        <w:autoSpaceDE w:val="0"/>
        <w:autoSpaceDN w:val="0"/>
        <w:adjustRightInd w:val="0"/>
        <w:ind w:firstLine="567"/>
        <w:jc w:val="both"/>
        <w:rPr>
          <w:bCs/>
        </w:rPr>
      </w:pPr>
      <w:r>
        <w:rPr>
          <w:bCs/>
        </w:rPr>
        <w:t xml:space="preserve">3.10. </w:t>
      </w:r>
      <w:r w:rsidR="00601227"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601227" w:rsidRPr="00601227" w:rsidRDefault="00601227" w:rsidP="00601227">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601227" w:rsidRPr="00601227" w:rsidRDefault="00601227" w:rsidP="00601227">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601227" w:rsidRPr="00601227" w:rsidRDefault="00601227" w:rsidP="00601227">
      <w:pPr>
        <w:autoSpaceDE w:val="0"/>
        <w:autoSpaceDN w:val="0"/>
        <w:adjustRightInd w:val="0"/>
        <w:ind w:firstLine="567"/>
        <w:jc w:val="both"/>
        <w:rPr>
          <w:bCs/>
        </w:rPr>
      </w:pPr>
      <w:r w:rsidRPr="00601227">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601227" w:rsidRPr="00601227" w:rsidRDefault="00601227" w:rsidP="00601227">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601227" w:rsidRPr="00601227" w:rsidRDefault="00601227" w:rsidP="00601227">
      <w:pPr>
        <w:autoSpaceDE w:val="0"/>
        <w:autoSpaceDN w:val="0"/>
        <w:adjustRightInd w:val="0"/>
        <w:ind w:firstLine="567"/>
        <w:jc w:val="both"/>
        <w:rPr>
          <w:bCs/>
        </w:rPr>
      </w:pPr>
      <w:r w:rsidRPr="00601227">
        <w:rPr>
          <w:bCs/>
        </w:rPr>
        <w:lastRenderedPageBreak/>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601227" w:rsidRPr="00601227" w:rsidRDefault="00601227" w:rsidP="00601227">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601227" w:rsidRPr="00601227" w:rsidRDefault="00601227" w:rsidP="00601227">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B86178" w:rsidRPr="00B81807" w:rsidRDefault="00601227" w:rsidP="00601227">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С 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4B1A6B" w:rsidRPr="004B1A6B" w:rsidRDefault="00B86178" w:rsidP="004B1A6B">
      <w:pPr>
        <w:pStyle w:val="ab"/>
        <w:ind w:firstLine="567"/>
        <w:jc w:val="both"/>
        <w:rPr>
          <w:sz w:val="24"/>
          <w:szCs w:val="24"/>
        </w:rPr>
      </w:pPr>
      <w:r w:rsidRPr="004B1A6B">
        <w:rPr>
          <w:sz w:val="24"/>
          <w:szCs w:val="24"/>
        </w:rPr>
        <w:t xml:space="preserve">3.11. </w:t>
      </w:r>
      <w:proofErr w:type="spellStart"/>
      <w:r w:rsidR="004B1A6B" w:rsidRPr="004B1A6B">
        <w:rPr>
          <w:sz w:val="24"/>
          <w:szCs w:val="24"/>
        </w:rPr>
        <w:t>Самойловск</w:t>
      </w:r>
      <w:r w:rsidR="004B1A6B">
        <w:rPr>
          <w:sz w:val="24"/>
          <w:szCs w:val="24"/>
        </w:rPr>
        <w:t>ий</w:t>
      </w:r>
      <w:proofErr w:type="spellEnd"/>
      <w:r w:rsidR="004B1A6B">
        <w:rPr>
          <w:sz w:val="24"/>
          <w:szCs w:val="24"/>
        </w:rPr>
        <w:t xml:space="preserve"> р</w:t>
      </w:r>
      <w:r w:rsidR="004B1A6B" w:rsidRPr="004B1A6B">
        <w:rPr>
          <w:sz w:val="24"/>
          <w:szCs w:val="24"/>
        </w:rPr>
        <w:t xml:space="preserve">айон образован 23 июля 1928 года в составе </w:t>
      </w:r>
      <w:proofErr w:type="spellStart"/>
      <w:r w:rsidR="004B1A6B" w:rsidRPr="004B1A6B">
        <w:rPr>
          <w:sz w:val="24"/>
          <w:szCs w:val="24"/>
        </w:rPr>
        <w:t>Балашовского</w:t>
      </w:r>
      <w:proofErr w:type="spellEnd"/>
      <w:r w:rsidR="004B1A6B" w:rsidRPr="004B1A6B">
        <w:rPr>
          <w:sz w:val="24"/>
          <w:szCs w:val="24"/>
        </w:rPr>
        <w:t xml:space="preserve"> округа </w:t>
      </w:r>
      <w:proofErr w:type="spellStart"/>
      <w:r w:rsidR="004B1A6B" w:rsidRPr="004B1A6B">
        <w:rPr>
          <w:sz w:val="24"/>
          <w:szCs w:val="24"/>
        </w:rPr>
        <w:t>Нижне-Волжского</w:t>
      </w:r>
      <w:proofErr w:type="spellEnd"/>
      <w:r w:rsidR="004B1A6B" w:rsidRPr="004B1A6B">
        <w:rPr>
          <w:sz w:val="24"/>
          <w:szCs w:val="24"/>
        </w:rPr>
        <w:t xml:space="preserve"> края. В его состав вошла территория бывшей </w:t>
      </w:r>
      <w:proofErr w:type="spellStart"/>
      <w:r w:rsidR="004B1A6B" w:rsidRPr="004B1A6B">
        <w:rPr>
          <w:sz w:val="24"/>
          <w:szCs w:val="24"/>
        </w:rPr>
        <w:t>Самойловской</w:t>
      </w:r>
      <w:proofErr w:type="spellEnd"/>
      <w:r w:rsidR="004B1A6B" w:rsidRPr="004B1A6B">
        <w:rPr>
          <w:sz w:val="24"/>
          <w:szCs w:val="24"/>
        </w:rPr>
        <w:t xml:space="preserve"> волости </w:t>
      </w:r>
      <w:proofErr w:type="spellStart"/>
      <w:r w:rsidR="004B1A6B" w:rsidRPr="004B1A6B">
        <w:rPr>
          <w:sz w:val="24"/>
          <w:szCs w:val="24"/>
        </w:rPr>
        <w:t>Балашовского</w:t>
      </w:r>
      <w:proofErr w:type="spellEnd"/>
      <w:r w:rsidR="004B1A6B" w:rsidRPr="004B1A6B">
        <w:rPr>
          <w:sz w:val="24"/>
          <w:szCs w:val="24"/>
        </w:rPr>
        <w:t xml:space="preserve"> уезда Саратовской губернии.</w:t>
      </w:r>
    </w:p>
    <w:p w:rsidR="004B1A6B" w:rsidRPr="004B1A6B" w:rsidRDefault="004B1A6B" w:rsidP="004B1A6B">
      <w:pPr>
        <w:pStyle w:val="ab"/>
        <w:ind w:firstLine="567"/>
        <w:jc w:val="both"/>
        <w:rPr>
          <w:sz w:val="24"/>
          <w:szCs w:val="24"/>
        </w:rPr>
      </w:pPr>
      <w:r w:rsidRPr="004B1A6B">
        <w:rPr>
          <w:sz w:val="24"/>
          <w:szCs w:val="24"/>
        </w:rPr>
        <w:t>С 1934 года район в составе Саратовского края, с 1936 года — в Саратовской области.</w:t>
      </w:r>
    </w:p>
    <w:p w:rsidR="004B1A6B" w:rsidRPr="004B1A6B" w:rsidRDefault="004B1A6B" w:rsidP="004B1A6B">
      <w:pPr>
        <w:pStyle w:val="ab"/>
        <w:ind w:firstLine="567"/>
        <w:jc w:val="both"/>
        <w:rPr>
          <w:sz w:val="24"/>
          <w:szCs w:val="24"/>
        </w:rPr>
      </w:pPr>
      <w:r w:rsidRPr="004B1A6B">
        <w:rPr>
          <w:sz w:val="24"/>
          <w:szCs w:val="24"/>
        </w:rPr>
        <w:t xml:space="preserve">С 6 января 1954 года по 19 ноября 1957 года район входил в состав </w:t>
      </w:r>
      <w:proofErr w:type="spellStart"/>
      <w:r w:rsidRPr="004B1A6B">
        <w:rPr>
          <w:sz w:val="24"/>
          <w:szCs w:val="24"/>
        </w:rPr>
        <w:t>Балашовской</w:t>
      </w:r>
      <w:proofErr w:type="spellEnd"/>
      <w:r w:rsidRPr="004B1A6B">
        <w:rPr>
          <w:sz w:val="24"/>
          <w:szCs w:val="24"/>
        </w:rPr>
        <w:t xml:space="preserve"> области.</w:t>
      </w:r>
    </w:p>
    <w:p w:rsidR="004B1A6B" w:rsidRPr="004B1A6B" w:rsidRDefault="004B1A6B" w:rsidP="004B1A6B">
      <w:pPr>
        <w:pStyle w:val="ab"/>
        <w:ind w:firstLine="567"/>
        <w:jc w:val="both"/>
        <w:rPr>
          <w:sz w:val="24"/>
          <w:szCs w:val="24"/>
        </w:rPr>
      </w:pPr>
      <w:r w:rsidRPr="004B1A6B">
        <w:rPr>
          <w:sz w:val="24"/>
          <w:szCs w:val="24"/>
        </w:rPr>
        <w:t xml:space="preserve">В 1959 году в состав района вошла территория упразднённого </w:t>
      </w:r>
      <w:proofErr w:type="spellStart"/>
      <w:r w:rsidRPr="004B1A6B">
        <w:rPr>
          <w:sz w:val="24"/>
          <w:szCs w:val="24"/>
        </w:rPr>
        <w:t>Красавского</w:t>
      </w:r>
      <w:proofErr w:type="spellEnd"/>
      <w:r w:rsidRPr="004B1A6B">
        <w:rPr>
          <w:sz w:val="24"/>
          <w:szCs w:val="24"/>
        </w:rPr>
        <w:t xml:space="preserve"> района с центром в </w:t>
      </w:r>
      <w:proofErr w:type="gramStart"/>
      <w:r w:rsidRPr="004B1A6B">
        <w:rPr>
          <w:sz w:val="24"/>
          <w:szCs w:val="24"/>
        </w:rPr>
        <w:t>с</w:t>
      </w:r>
      <w:proofErr w:type="gramEnd"/>
      <w:r w:rsidRPr="004B1A6B">
        <w:rPr>
          <w:sz w:val="24"/>
          <w:szCs w:val="24"/>
        </w:rPr>
        <w:t>. Святославка</w:t>
      </w:r>
      <w:r>
        <w:rPr>
          <w:sz w:val="24"/>
          <w:szCs w:val="24"/>
        </w:rPr>
        <w:t>.</w:t>
      </w:r>
    </w:p>
    <w:p w:rsidR="004B1A6B" w:rsidRPr="004B1A6B" w:rsidRDefault="004B1A6B" w:rsidP="004B1A6B">
      <w:pPr>
        <w:pStyle w:val="ab"/>
        <w:ind w:firstLine="567"/>
        <w:jc w:val="both"/>
        <w:rPr>
          <w:sz w:val="24"/>
          <w:szCs w:val="24"/>
        </w:rPr>
      </w:pPr>
      <w:r w:rsidRPr="004B1A6B">
        <w:rPr>
          <w:sz w:val="24"/>
          <w:szCs w:val="24"/>
        </w:rPr>
        <w:t>В 1963—1964 годах район был упразднён.</w:t>
      </w:r>
    </w:p>
    <w:p w:rsidR="004B1A6B" w:rsidRDefault="004B1A6B" w:rsidP="004B1A6B">
      <w:pPr>
        <w:pStyle w:val="ab"/>
        <w:ind w:firstLine="567"/>
        <w:jc w:val="both"/>
        <w:rPr>
          <w:sz w:val="24"/>
          <w:szCs w:val="24"/>
        </w:rPr>
      </w:pPr>
      <w:r w:rsidRPr="004B1A6B">
        <w:rPr>
          <w:sz w:val="24"/>
          <w:szCs w:val="24"/>
        </w:rPr>
        <w:t xml:space="preserve">С 1 января 2005 года район преобразован в муниципальное образование </w:t>
      </w:r>
      <w:proofErr w:type="spellStart"/>
      <w:r w:rsidRPr="004B1A6B">
        <w:rPr>
          <w:sz w:val="24"/>
          <w:szCs w:val="24"/>
        </w:rPr>
        <w:t>Самойловский</w:t>
      </w:r>
      <w:proofErr w:type="spellEnd"/>
      <w:r w:rsidRPr="004B1A6B">
        <w:rPr>
          <w:sz w:val="24"/>
          <w:szCs w:val="24"/>
        </w:rPr>
        <w:t xml:space="preserve"> муниципальный район</w:t>
      </w:r>
      <w:r>
        <w:rPr>
          <w:sz w:val="24"/>
          <w:szCs w:val="24"/>
        </w:rPr>
        <w:t>.</w:t>
      </w:r>
    </w:p>
    <w:p w:rsidR="00B86178" w:rsidRPr="004B1A6B" w:rsidRDefault="00B86178" w:rsidP="004B1A6B">
      <w:pPr>
        <w:pStyle w:val="ab"/>
        <w:ind w:firstLine="567"/>
        <w:jc w:val="both"/>
        <w:rPr>
          <w:sz w:val="24"/>
          <w:szCs w:val="24"/>
        </w:rPr>
      </w:pPr>
      <w:r w:rsidRPr="004B1A6B">
        <w:rPr>
          <w:sz w:val="24"/>
          <w:szCs w:val="24"/>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 xml:space="preserve">На территории </w:t>
      </w:r>
      <w:r w:rsidR="004B1A6B">
        <w:t>Самойловского</w:t>
      </w:r>
      <w:r w:rsidRPr="00DD08CD">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w:t>
      </w:r>
    </w:p>
    <w:p w:rsidR="0044171D" w:rsidRPr="00DD08CD" w:rsidRDefault="0044171D"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44171D">
        <w:rPr>
          <w:b/>
        </w:rPr>
        <w:t>Благовещенского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0A6FFE">
            <w:pPr>
              <w:jc w:val="center"/>
            </w:pPr>
            <w:proofErr w:type="gramStart"/>
            <w:r w:rsidRPr="00B81807">
              <w:t>с</w:t>
            </w:r>
            <w:proofErr w:type="gramEnd"/>
            <w:r w:rsidRPr="00B81807">
              <w:t xml:space="preserve">. </w:t>
            </w:r>
            <w:r w:rsidR="0044171D" w:rsidRPr="0044171D">
              <w:t>Благовещенка</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44171D" w:rsidP="000A6FFE">
            <w:pPr>
              <w:jc w:val="center"/>
            </w:pPr>
            <w:r>
              <w:t>д</w:t>
            </w:r>
            <w:r w:rsidR="00666627" w:rsidRPr="00B81807">
              <w:t xml:space="preserve">. </w:t>
            </w:r>
            <w:r w:rsidRPr="0044171D">
              <w:t>Елизаветино</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0A6FFE">
            <w:pPr>
              <w:jc w:val="center"/>
            </w:pPr>
            <w:proofErr w:type="gramStart"/>
            <w:r>
              <w:t>с</w:t>
            </w:r>
            <w:proofErr w:type="gramEnd"/>
            <w:r>
              <w:t xml:space="preserve">. </w:t>
            </w:r>
            <w:r w:rsidR="0044171D" w:rsidRPr="0044171D">
              <w:t>Александровка</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BC236A">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44171D" w:rsidRPr="0044171D">
        <w:rPr>
          <w:bCs/>
        </w:rPr>
        <w:t>Благовещенского</w:t>
      </w:r>
      <w:r w:rsidR="00BC236A">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lastRenderedPageBreak/>
        <w:t xml:space="preserve">Таблица 3.3. Динамика численности населения на территории </w:t>
      </w:r>
      <w:r w:rsidR="0044171D">
        <w:rPr>
          <w:b/>
        </w:rPr>
        <w:t>Благовещенского</w:t>
      </w:r>
      <w:r w:rsidR="00BC236A">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BC236A">
              <w:t xml:space="preserve"> </w:t>
            </w:r>
            <w:r>
              <w:t>чел.</w:t>
            </w:r>
          </w:p>
        </w:tc>
        <w:tc>
          <w:tcPr>
            <w:tcW w:w="1298" w:type="dxa"/>
          </w:tcPr>
          <w:p w:rsidR="00B86178" w:rsidRPr="00B81807" w:rsidRDefault="008309DD" w:rsidP="006A1099">
            <w:pPr>
              <w:jc w:val="center"/>
            </w:pPr>
            <w:r>
              <w:t>1005</w:t>
            </w:r>
          </w:p>
        </w:tc>
        <w:tc>
          <w:tcPr>
            <w:tcW w:w="1465" w:type="dxa"/>
            <w:shd w:val="clear" w:color="auto" w:fill="auto"/>
          </w:tcPr>
          <w:p w:rsidR="00B86178" w:rsidRPr="00B81807" w:rsidRDefault="008309DD" w:rsidP="006A1099">
            <w:pPr>
              <w:jc w:val="center"/>
            </w:pPr>
            <w:r>
              <w:t>1000</w:t>
            </w:r>
          </w:p>
        </w:tc>
        <w:tc>
          <w:tcPr>
            <w:tcW w:w="857" w:type="dxa"/>
          </w:tcPr>
          <w:p w:rsidR="00B86178" w:rsidRPr="00B81807" w:rsidRDefault="008309DD" w:rsidP="006A1099">
            <w:pPr>
              <w:jc w:val="center"/>
            </w:pPr>
            <w:r>
              <w:t>960</w:t>
            </w:r>
          </w:p>
        </w:tc>
        <w:tc>
          <w:tcPr>
            <w:tcW w:w="934" w:type="dxa"/>
          </w:tcPr>
          <w:p w:rsidR="00B86178" w:rsidRPr="00B81807" w:rsidRDefault="008309DD" w:rsidP="006A1099">
            <w:pPr>
              <w:jc w:val="center"/>
            </w:pPr>
            <w:r>
              <w:t>936</w:t>
            </w:r>
          </w:p>
        </w:tc>
        <w:tc>
          <w:tcPr>
            <w:tcW w:w="996" w:type="dxa"/>
          </w:tcPr>
          <w:p w:rsidR="00B86178" w:rsidRPr="00B81807" w:rsidRDefault="008309DD" w:rsidP="006A1099">
            <w:pPr>
              <w:jc w:val="center"/>
            </w:pPr>
            <w:r>
              <w:t>923</w:t>
            </w:r>
          </w:p>
        </w:tc>
        <w:tc>
          <w:tcPr>
            <w:tcW w:w="996" w:type="dxa"/>
          </w:tcPr>
          <w:p w:rsidR="00B86178" w:rsidRPr="00B81807" w:rsidRDefault="008309DD" w:rsidP="006A1099">
            <w:pPr>
              <w:jc w:val="center"/>
            </w:pPr>
            <w:r>
              <w:t>899</w:t>
            </w:r>
          </w:p>
        </w:tc>
        <w:tc>
          <w:tcPr>
            <w:tcW w:w="996" w:type="dxa"/>
          </w:tcPr>
          <w:p w:rsidR="00B86178" w:rsidRDefault="008309DD" w:rsidP="006A1099">
            <w:pPr>
              <w:jc w:val="center"/>
            </w:pPr>
            <w:r>
              <w:t>889</w:t>
            </w:r>
          </w:p>
          <w:p w:rsidR="000A6FFE" w:rsidRPr="00B81807" w:rsidRDefault="000A6FFE" w:rsidP="006A1099">
            <w:pPr>
              <w:jc w:val="center"/>
            </w:pP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w:t>
            </w:r>
            <w:r w:rsidRPr="000A6FFE">
              <w:lastRenderedPageBreak/>
              <w:t xml:space="preserve">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BC236A">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BC236A">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w:t>
            </w:r>
            <w:r w:rsidRPr="000A6FFE">
              <w:lastRenderedPageBreak/>
              <w:t>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1.3</w:t>
            </w:r>
          </w:p>
        </w:tc>
        <w:tc>
          <w:tcPr>
            <w:tcW w:w="2126" w:type="dxa"/>
            <w:shd w:val="clear" w:color="auto" w:fill="auto"/>
          </w:tcPr>
          <w:p w:rsidR="008D7DBB" w:rsidRPr="000A6FFE" w:rsidRDefault="008D7DBB" w:rsidP="006A1099">
            <w:pPr>
              <w:jc w:val="center"/>
            </w:pPr>
            <w:r w:rsidRPr="000A6FFE">
              <w:t>Объекты,</w:t>
            </w:r>
            <w:r w:rsidR="00BC236A">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w:t>
            </w:r>
            <w:r w:rsidRPr="000A6FFE">
              <w:lastRenderedPageBreak/>
              <w:t xml:space="preserve">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w:t>
            </w:r>
            <w:r w:rsidRPr="000A6FFE">
              <w:lastRenderedPageBreak/>
              <w:t xml:space="preserve">2001. «Доступность зданий и сооружений для </w:t>
            </w:r>
            <w:proofErr w:type="spellStart"/>
            <w:r w:rsidRPr="000A6FFE">
              <w:t>маломобильных</w:t>
            </w:r>
            <w:proofErr w:type="spellEnd"/>
            <w:r w:rsidRPr="000A6FFE">
              <w:t xml:space="preserve">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Автомобильные дороги местного значения </w:t>
            </w:r>
            <w:r w:rsidRPr="000A6FFE">
              <w:lastRenderedPageBreak/>
              <w:t>поселения</w:t>
            </w:r>
            <w:r w:rsidR="00BC236A">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lastRenderedPageBreak/>
              <w:t xml:space="preserve">Расчетные показатели обеспеченности </w:t>
            </w:r>
            <w:r w:rsidRPr="000A6FFE">
              <w:lastRenderedPageBreak/>
              <w:t>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 xml:space="preserve">Раздел 11 СП 42.13330.2011. Свод правил. Градостроительство. Планировка и застройка городских и сельских </w:t>
            </w:r>
            <w:r w:rsidRPr="000A6FFE">
              <w:lastRenderedPageBreak/>
              <w:t xml:space="preserve">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5D77F9" w:rsidRPr="005D77F9">
              <w:rPr>
                <w:bCs/>
              </w:rPr>
              <w:t>Благовещенского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w:t>
            </w:r>
            <w:r w:rsidRPr="000A6FFE">
              <w:lastRenderedPageBreak/>
              <w:t xml:space="preserve">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5D77F9" w:rsidRPr="005D77F9">
              <w:rPr>
                <w:bCs/>
              </w:rPr>
              <w:t xml:space="preserve">Благовещенского </w:t>
            </w:r>
            <w:r w:rsidRPr="000A6FFE">
              <w:t>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BC236A">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D77F9" w:rsidRPr="005D77F9">
              <w:t>Благовещенского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D77F9" w:rsidRPr="005D77F9">
              <w:rPr>
                <w:bCs/>
              </w:rPr>
              <w:t>Благовещенского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5D77F9" w:rsidRPr="005D77F9">
              <w:t>Благовещенского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BC236A">
              <w:t xml:space="preserve"> </w:t>
            </w:r>
            <w:r w:rsidRPr="000A6FFE">
              <w:t xml:space="preserve">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w:t>
            </w:r>
            <w:r w:rsidRPr="000A6FFE">
              <w:lastRenderedPageBreak/>
              <w:t xml:space="preserve">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BC236A">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5D77F9" w:rsidRPr="005D77F9">
              <w:t>Благовещенского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670DFC">
      <w:pPr>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5D77F9" w:rsidRPr="005D77F9">
        <w:rPr>
          <w:bCs/>
        </w:rPr>
        <w:t>Благовещенского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5D77F9" w:rsidRPr="005D77F9">
        <w:rPr>
          <w:bCs/>
        </w:rPr>
        <w:t>Благовещенского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5D77F9" w:rsidRPr="005D77F9">
        <w:rPr>
          <w:bCs/>
        </w:rPr>
        <w:t>Благовещенского</w:t>
      </w:r>
      <w:r w:rsidR="00BC236A">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5D77F9" w:rsidRPr="005D77F9">
        <w:rPr>
          <w:bCs/>
        </w:rPr>
        <w:t>Благовещенского</w:t>
      </w:r>
      <w:r>
        <w:t xml:space="preserve"> муниципального образования </w:t>
      </w:r>
      <w:r w:rsidR="005D77F9" w:rsidRPr="005D77F9">
        <w:t>Самойловского</w:t>
      </w:r>
      <w:r>
        <w:t xml:space="preserve">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5D77F9" w:rsidRPr="005D77F9">
        <w:rPr>
          <w:bCs/>
        </w:rPr>
        <w:t>Благовещенского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5D77F9" w:rsidRPr="005D77F9">
        <w:rPr>
          <w:bCs/>
        </w:rPr>
        <w:t>Благовещенского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5D77F9" w:rsidRPr="005D77F9">
        <w:t>Благовещенского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5D77F9" w:rsidRPr="005D77F9">
        <w:rPr>
          <w:bCs/>
        </w:rPr>
        <w:t>Благовещенского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5D77F9" w:rsidRPr="005D77F9">
        <w:rPr>
          <w:bCs/>
        </w:rPr>
        <w:t>Благовещенского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C9" w:rsidRDefault="00A342C9">
      <w:r>
        <w:separator/>
      </w:r>
    </w:p>
  </w:endnote>
  <w:endnote w:type="continuationSeparator" w:id="0">
    <w:p w:rsidR="00A342C9" w:rsidRDefault="00A3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9B" w:rsidRDefault="001C7AA3" w:rsidP="005F379F">
    <w:pPr>
      <w:pStyle w:val="a9"/>
      <w:framePr w:wrap="auto" w:vAnchor="text" w:hAnchor="margin" w:xAlign="right" w:y="1"/>
      <w:rPr>
        <w:rStyle w:val="af3"/>
      </w:rPr>
    </w:pPr>
    <w:r>
      <w:rPr>
        <w:rStyle w:val="af3"/>
      </w:rPr>
      <w:fldChar w:fldCharType="begin"/>
    </w:r>
    <w:r w:rsidR="003D4C9B">
      <w:rPr>
        <w:rStyle w:val="af3"/>
      </w:rPr>
      <w:instrText xml:space="preserve">PAGE  </w:instrText>
    </w:r>
    <w:r>
      <w:rPr>
        <w:rStyle w:val="af3"/>
      </w:rPr>
      <w:fldChar w:fldCharType="separate"/>
    </w:r>
    <w:r w:rsidR="00B13D1E">
      <w:rPr>
        <w:rStyle w:val="af3"/>
        <w:noProof/>
      </w:rPr>
      <w:t>45</w:t>
    </w:r>
    <w:r>
      <w:rPr>
        <w:rStyle w:val="af3"/>
      </w:rPr>
      <w:fldChar w:fldCharType="end"/>
    </w:r>
  </w:p>
  <w:p w:rsidR="003D4C9B" w:rsidRDefault="003D4C9B"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C9" w:rsidRDefault="00A342C9">
      <w:r>
        <w:separator/>
      </w:r>
    </w:p>
  </w:footnote>
  <w:footnote w:type="continuationSeparator" w:id="0">
    <w:p w:rsidR="00A342C9" w:rsidRDefault="00A3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29E2"/>
    <w:rsid w:val="00012CD5"/>
    <w:rsid w:val="00022249"/>
    <w:rsid w:val="00022398"/>
    <w:rsid w:val="000263E0"/>
    <w:rsid w:val="000274E5"/>
    <w:rsid w:val="00027BEC"/>
    <w:rsid w:val="0003334D"/>
    <w:rsid w:val="00051F92"/>
    <w:rsid w:val="00062ECB"/>
    <w:rsid w:val="000631F8"/>
    <w:rsid w:val="000673C4"/>
    <w:rsid w:val="00086FEA"/>
    <w:rsid w:val="00090528"/>
    <w:rsid w:val="000967F2"/>
    <w:rsid w:val="000972FC"/>
    <w:rsid w:val="000A02B6"/>
    <w:rsid w:val="000A18A7"/>
    <w:rsid w:val="000A6FFE"/>
    <w:rsid w:val="000B071C"/>
    <w:rsid w:val="000C3274"/>
    <w:rsid w:val="000C5A3B"/>
    <w:rsid w:val="000C6217"/>
    <w:rsid w:val="000D0FAA"/>
    <w:rsid w:val="000D1012"/>
    <w:rsid w:val="000E618A"/>
    <w:rsid w:val="000F3515"/>
    <w:rsid w:val="0011498A"/>
    <w:rsid w:val="00121265"/>
    <w:rsid w:val="001405F4"/>
    <w:rsid w:val="0014478F"/>
    <w:rsid w:val="001502D9"/>
    <w:rsid w:val="00156374"/>
    <w:rsid w:val="00157CF9"/>
    <w:rsid w:val="00166C02"/>
    <w:rsid w:val="0016776E"/>
    <w:rsid w:val="001828E3"/>
    <w:rsid w:val="00187177"/>
    <w:rsid w:val="00190FFB"/>
    <w:rsid w:val="001A140B"/>
    <w:rsid w:val="001A273A"/>
    <w:rsid w:val="001A2B70"/>
    <w:rsid w:val="001A676C"/>
    <w:rsid w:val="001B1263"/>
    <w:rsid w:val="001B34B9"/>
    <w:rsid w:val="001B5DB8"/>
    <w:rsid w:val="001C230C"/>
    <w:rsid w:val="001C7AA3"/>
    <w:rsid w:val="001D3766"/>
    <w:rsid w:val="001E4662"/>
    <w:rsid w:val="001F70D9"/>
    <w:rsid w:val="002069AF"/>
    <w:rsid w:val="00216777"/>
    <w:rsid w:val="0021695E"/>
    <w:rsid w:val="00224962"/>
    <w:rsid w:val="00225B38"/>
    <w:rsid w:val="00231862"/>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B4BDB"/>
    <w:rsid w:val="002C0F54"/>
    <w:rsid w:val="002C6EF1"/>
    <w:rsid w:val="002C72DC"/>
    <w:rsid w:val="002D0E44"/>
    <w:rsid w:val="002D2253"/>
    <w:rsid w:val="002D27D6"/>
    <w:rsid w:val="002E779B"/>
    <w:rsid w:val="002E77C7"/>
    <w:rsid w:val="00305C29"/>
    <w:rsid w:val="00310255"/>
    <w:rsid w:val="003161FD"/>
    <w:rsid w:val="003227FA"/>
    <w:rsid w:val="0033000B"/>
    <w:rsid w:val="00336CCA"/>
    <w:rsid w:val="0034673E"/>
    <w:rsid w:val="00354140"/>
    <w:rsid w:val="003553D3"/>
    <w:rsid w:val="00357E7F"/>
    <w:rsid w:val="00362BCD"/>
    <w:rsid w:val="00383A19"/>
    <w:rsid w:val="00386D76"/>
    <w:rsid w:val="003A49BE"/>
    <w:rsid w:val="003B0E7E"/>
    <w:rsid w:val="003B37A9"/>
    <w:rsid w:val="003C10D0"/>
    <w:rsid w:val="003C1274"/>
    <w:rsid w:val="003C5A59"/>
    <w:rsid w:val="003C5D01"/>
    <w:rsid w:val="003C7338"/>
    <w:rsid w:val="003C73B0"/>
    <w:rsid w:val="003D4C9B"/>
    <w:rsid w:val="003D4FA8"/>
    <w:rsid w:val="003D7346"/>
    <w:rsid w:val="003E2872"/>
    <w:rsid w:val="003E6D19"/>
    <w:rsid w:val="003F1A2D"/>
    <w:rsid w:val="004110F0"/>
    <w:rsid w:val="0041353B"/>
    <w:rsid w:val="00415375"/>
    <w:rsid w:val="00424722"/>
    <w:rsid w:val="00424D3F"/>
    <w:rsid w:val="004303E3"/>
    <w:rsid w:val="00433F2B"/>
    <w:rsid w:val="00435D5D"/>
    <w:rsid w:val="0044171D"/>
    <w:rsid w:val="00444314"/>
    <w:rsid w:val="00444456"/>
    <w:rsid w:val="00465F1F"/>
    <w:rsid w:val="004704B2"/>
    <w:rsid w:val="004777B7"/>
    <w:rsid w:val="0048154A"/>
    <w:rsid w:val="00484694"/>
    <w:rsid w:val="0049706F"/>
    <w:rsid w:val="004A0A91"/>
    <w:rsid w:val="004A146E"/>
    <w:rsid w:val="004A219B"/>
    <w:rsid w:val="004A5D82"/>
    <w:rsid w:val="004B1A6B"/>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3EEB"/>
    <w:rsid w:val="005B69B9"/>
    <w:rsid w:val="005B7695"/>
    <w:rsid w:val="005C09B4"/>
    <w:rsid w:val="005D53E4"/>
    <w:rsid w:val="005D77F9"/>
    <w:rsid w:val="005E2347"/>
    <w:rsid w:val="005F379F"/>
    <w:rsid w:val="00601227"/>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70DFC"/>
    <w:rsid w:val="00683273"/>
    <w:rsid w:val="00692BBA"/>
    <w:rsid w:val="006946B4"/>
    <w:rsid w:val="00695898"/>
    <w:rsid w:val="006A1099"/>
    <w:rsid w:val="006B3F4C"/>
    <w:rsid w:val="006B5683"/>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362"/>
    <w:rsid w:val="007B3F66"/>
    <w:rsid w:val="007B5516"/>
    <w:rsid w:val="007B658E"/>
    <w:rsid w:val="007C0BEC"/>
    <w:rsid w:val="007C1269"/>
    <w:rsid w:val="007C79B7"/>
    <w:rsid w:val="007D50E2"/>
    <w:rsid w:val="007E3190"/>
    <w:rsid w:val="007E3F23"/>
    <w:rsid w:val="007E545B"/>
    <w:rsid w:val="007E66BA"/>
    <w:rsid w:val="007F4ACF"/>
    <w:rsid w:val="00803C98"/>
    <w:rsid w:val="00804468"/>
    <w:rsid w:val="0080473F"/>
    <w:rsid w:val="0081233C"/>
    <w:rsid w:val="00814BFC"/>
    <w:rsid w:val="00816B0F"/>
    <w:rsid w:val="0081743D"/>
    <w:rsid w:val="00817E63"/>
    <w:rsid w:val="00821AF2"/>
    <w:rsid w:val="00826D80"/>
    <w:rsid w:val="008309DD"/>
    <w:rsid w:val="00842751"/>
    <w:rsid w:val="008427C4"/>
    <w:rsid w:val="008468C6"/>
    <w:rsid w:val="00846A6E"/>
    <w:rsid w:val="0087447A"/>
    <w:rsid w:val="008746A6"/>
    <w:rsid w:val="00884794"/>
    <w:rsid w:val="008850DC"/>
    <w:rsid w:val="008A0DCF"/>
    <w:rsid w:val="008A1D6F"/>
    <w:rsid w:val="008B5F94"/>
    <w:rsid w:val="008B7274"/>
    <w:rsid w:val="008C72E8"/>
    <w:rsid w:val="008D7DBB"/>
    <w:rsid w:val="008F4B14"/>
    <w:rsid w:val="00902CB8"/>
    <w:rsid w:val="00904109"/>
    <w:rsid w:val="00910646"/>
    <w:rsid w:val="009136C1"/>
    <w:rsid w:val="00917CB1"/>
    <w:rsid w:val="0093249B"/>
    <w:rsid w:val="00936AA1"/>
    <w:rsid w:val="0094758A"/>
    <w:rsid w:val="00953A13"/>
    <w:rsid w:val="00960072"/>
    <w:rsid w:val="00970702"/>
    <w:rsid w:val="00995EAD"/>
    <w:rsid w:val="009C3663"/>
    <w:rsid w:val="009C5010"/>
    <w:rsid w:val="009C6DB5"/>
    <w:rsid w:val="009D756B"/>
    <w:rsid w:val="009F19C6"/>
    <w:rsid w:val="009F3263"/>
    <w:rsid w:val="00A007AD"/>
    <w:rsid w:val="00A010B4"/>
    <w:rsid w:val="00A01F25"/>
    <w:rsid w:val="00A05155"/>
    <w:rsid w:val="00A124ED"/>
    <w:rsid w:val="00A262EA"/>
    <w:rsid w:val="00A27C41"/>
    <w:rsid w:val="00A31933"/>
    <w:rsid w:val="00A342C9"/>
    <w:rsid w:val="00A42712"/>
    <w:rsid w:val="00A42CC4"/>
    <w:rsid w:val="00A46124"/>
    <w:rsid w:val="00A46AAC"/>
    <w:rsid w:val="00A5447B"/>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4289"/>
    <w:rsid w:val="00AD644D"/>
    <w:rsid w:val="00AF6611"/>
    <w:rsid w:val="00B05E30"/>
    <w:rsid w:val="00B13D1E"/>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A7B5D"/>
    <w:rsid w:val="00BB3BA6"/>
    <w:rsid w:val="00BB4F56"/>
    <w:rsid w:val="00BC236A"/>
    <w:rsid w:val="00BC4E1B"/>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248F"/>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76267"/>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DF6DD6"/>
    <w:rsid w:val="00E10D23"/>
    <w:rsid w:val="00E16BA8"/>
    <w:rsid w:val="00E16CA7"/>
    <w:rsid w:val="00E20070"/>
    <w:rsid w:val="00E201DB"/>
    <w:rsid w:val="00E25EAF"/>
    <w:rsid w:val="00E27CAD"/>
    <w:rsid w:val="00E30F24"/>
    <w:rsid w:val="00E41407"/>
    <w:rsid w:val="00E56A48"/>
    <w:rsid w:val="00E73754"/>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9233C"/>
    <w:rsid w:val="00FA4BA9"/>
    <w:rsid w:val="00FA602E"/>
    <w:rsid w:val="00FB31D0"/>
    <w:rsid w:val="00FB554D"/>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362"/>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45</Pages>
  <Words>13657</Words>
  <Characters>77848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Пользователь Windows</cp:lastModifiedBy>
  <cp:revision>72</cp:revision>
  <cp:lastPrinted>2017-09-28T07:23:00Z</cp:lastPrinted>
  <dcterms:created xsi:type="dcterms:W3CDTF">2017-05-14T13:34:00Z</dcterms:created>
  <dcterms:modified xsi:type="dcterms:W3CDTF">2018-09-07T09:25:00Z</dcterms:modified>
</cp:coreProperties>
</file>