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12" w:rsidRDefault="00C97A12" w:rsidP="00C97A12">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w:t>
      </w:r>
      <w:r w:rsidR="00B21B23">
        <w:rPr>
          <w:color w:val="000000" w:themeColor="text1"/>
        </w:rPr>
        <w:t>8</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C97A12" w:rsidRDefault="00C97A12" w:rsidP="00C97A12">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r w:rsidR="009E7B0D">
        <w:rPr>
          <w:b/>
          <w:color w:val="000000" w:themeColor="text1"/>
          <w:sz w:val="40"/>
          <w:szCs w:val="40"/>
        </w:rPr>
        <w:t xml:space="preserve"> ВНЕСЕНИЯ ИЗМЕНЕНИЙ</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62EF4">
        <w:rPr>
          <w:b/>
          <w:color w:val="000000" w:themeColor="text1"/>
          <w:sz w:val="34"/>
          <w:szCs w:val="34"/>
        </w:rPr>
        <w:t>ХРУЩЕВ</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C333AD" w:rsidP="005F290F">
      <w:pPr>
        <w:ind w:left="851" w:right="991"/>
        <w:jc w:val="center"/>
        <w:rPr>
          <w:b/>
          <w:color w:val="404040" w:themeColor="text1" w:themeTint="BF"/>
          <w:sz w:val="48"/>
          <w:szCs w:val="48"/>
        </w:rPr>
      </w:pPr>
      <w:r w:rsidRPr="00C333AD">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D62EF4" w:rsidP="005F290F">
      <w:pPr>
        <w:jc w:val="center"/>
        <w:rPr>
          <w:sz w:val="28"/>
          <w:szCs w:val="28"/>
        </w:rPr>
      </w:pPr>
      <w:r>
        <w:rPr>
          <w:b/>
          <w:sz w:val="28"/>
          <w:szCs w:val="28"/>
        </w:rPr>
        <w:t>Хрущев</w:t>
      </w:r>
      <w:r w:rsidR="00240F71">
        <w:rPr>
          <w:b/>
          <w:sz w:val="28"/>
          <w:szCs w:val="28"/>
        </w:rPr>
        <w:t>с</w:t>
      </w:r>
      <w:r w:rsidR="00231056">
        <w:rPr>
          <w:b/>
          <w:sz w:val="28"/>
          <w:szCs w:val="28"/>
        </w:rPr>
        <w:t>кого</w:t>
      </w:r>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21B23">
            <w:pPr>
              <w:jc w:val="center"/>
            </w:pPr>
            <w:r>
              <w:t>1</w:t>
            </w:r>
            <w:r w:rsidR="00B21B23">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D62EF4">
            <w:pPr>
              <w:rPr>
                <w:spacing w:val="-6"/>
              </w:rPr>
            </w:pPr>
            <w:r w:rsidRPr="004C2E4F">
              <w:rPr>
                <w:spacing w:val="-6"/>
              </w:rPr>
              <w:t xml:space="preserve">Общая </w:t>
            </w:r>
            <w:r>
              <w:rPr>
                <w:spacing w:val="-6"/>
              </w:rPr>
              <w:t xml:space="preserve">информация </w:t>
            </w:r>
            <w:r w:rsidRPr="004C2E4F">
              <w:rPr>
                <w:spacing w:val="-6"/>
              </w:rPr>
              <w:t xml:space="preserve">о </w:t>
            </w:r>
            <w:r w:rsidR="00D62EF4">
              <w:rPr>
                <w:spacing w:val="-6"/>
              </w:rPr>
              <w:t>Хрущев</w:t>
            </w:r>
            <w:r w:rsidRPr="004C2E4F">
              <w:rPr>
                <w:spacing w:val="-6"/>
              </w:rPr>
              <w:t>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C97A12">
            <w:pPr>
              <w:jc w:val="center"/>
            </w:pPr>
            <w:r>
              <w:t>3</w:t>
            </w:r>
            <w:r w:rsidR="00C97A12">
              <w:t>2</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D62EF4">
        <w:rPr>
          <w:sz w:val="24"/>
          <w:szCs w:val="24"/>
        </w:rPr>
        <w:t>Хрущев</w:t>
      </w:r>
      <w:r w:rsidR="001C36FB" w:rsidRPr="001C36FB">
        <w:rPr>
          <w:sz w:val="24"/>
          <w:szCs w:val="24"/>
        </w:rPr>
        <w:t>ского</w:t>
      </w:r>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D62EF4">
        <w:rPr>
          <w:sz w:val="24"/>
          <w:szCs w:val="24"/>
        </w:rPr>
        <w:t>Хрущев</w:t>
      </w:r>
      <w:r w:rsidRPr="00843683">
        <w:rPr>
          <w:sz w:val="24"/>
          <w:szCs w:val="24"/>
        </w:rPr>
        <w:t>ского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r w:rsidR="00D62EF4">
        <w:t>Хрущев</w:t>
      </w:r>
      <w:r w:rsidR="000C05B7" w:rsidRPr="004A52B8">
        <w:t>ского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C97A12">
      <w:pPr>
        <w:ind w:firstLine="540"/>
        <w:jc w:val="both"/>
      </w:pPr>
      <w:r w:rsidRPr="005428F7">
        <w:t xml:space="preserve">в) физическая культура и массовый спорт, образование, здравоохранение, </w:t>
      </w:r>
      <w:r w:rsidR="00C97A12">
        <w:t>накопление</w:t>
      </w:r>
      <w:r w:rsidR="00C97A12" w:rsidRPr="005428F7">
        <w:t xml:space="preserve">, </w:t>
      </w:r>
      <w:r w:rsidR="00C97A12">
        <w:t>сбор</w:t>
      </w:r>
      <w:r w:rsidR="00C97A12" w:rsidRPr="005428F7">
        <w:t xml:space="preserve">, </w:t>
      </w:r>
      <w:r w:rsidR="00C97A12">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w:t>
      </w:r>
      <w:proofErr w:type="gramStart"/>
      <w:r w:rsidRPr="00116F82">
        <w:rPr>
          <w:rFonts w:ascii="Times New Roman" w:hAnsi="Times New Roman" w:cs="Times New Roman"/>
          <w:sz w:val="24"/>
          <w:szCs w:val="24"/>
        </w:rPr>
        <w:t xml:space="preserve">повышения качества жизни населения </w:t>
      </w:r>
      <w:r w:rsidR="00D62EF4" w:rsidRPr="00D62EF4">
        <w:rPr>
          <w:rFonts w:ascii="Times New Roman" w:hAnsi="Times New Roman" w:cs="Times New Roman"/>
          <w:sz w:val="24"/>
          <w:szCs w:val="24"/>
        </w:rPr>
        <w:t>Хрущев</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w:t>
      </w:r>
      <w:proofErr w:type="gramEnd"/>
      <w:r w:rsidRPr="00116F8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r w:rsidR="00D62EF4" w:rsidRPr="00D62EF4">
        <w:rPr>
          <w:rFonts w:ascii="Times New Roman" w:hAnsi="Times New Roman" w:cs="Times New Roman"/>
          <w:sz w:val="24"/>
          <w:szCs w:val="24"/>
        </w:rPr>
        <w:t>Хрущев</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C97A12">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00D62EF4" w:rsidRPr="00D62EF4">
        <w:rPr>
          <w:rFonts w:ascii="Times New Roman" w:hAnsi="Times New Roman" w:cs="Times New Roman"/>
          <w:sz w:val="24"/>
          <w:szCs w:val="24"/>
        </w:rPr>
        <w:t>Хрущев</w:t>
      </w:r>
      <w:r w:rsidR="00791146">
        <w:rPr>
          <w:rFonts w:ascii="Times New Roman" w:hAnsi="Times New Roman"/>
          <w:sz w:val="24"/>
          <w:szCs w:val="24"/>
        </w:rPr>
        <w:t>с</w:t>
      </w:r>
      <w:r w:rsidR="00D676C9" w:rsidRPr="00D676C9">
        <w:rPr>
          <w:rFonts w:ascii="Times New Roman" w:hAnsi="Times New Roman"/>
          <w:sz w:val="24"/>
          <w:szCs w:val="24"/>
        </w:rPr>
        <w:t>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C97A12">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C97A12" w:rsidRPr="00323B3B" w:rsidTr="007F6399">
        <w:trPr>
          <w:trHeight w:val="572"/>
        </w:trPr>
        <w:tc>
          <w:tcPr>
            <w:tcW w:w="574" w:type="dxa"/>
            <w:vAlign w:val="center"/>
          </w:tcPr>
          <w:p w:rsidR="00C97A12" w:rsidRPr="0050615D" w:rsidRDefault="00C97A12" w:rsidP="007F6399">
            <w:pPr>
              <w:jc w:val="center"/>
            </w:pPr>
            <w:r w:rsidRPr="0050615D">
              <w:t>1</w:t>
            </w:r>
          </w:p>
        </w:tc>
        <w:tc>
          <w:tcPr>
            <w:tcW w:w="2971" w:type="dxa"/>
            <w:vAlign w:val="center"/>
          </w:tcPr>
          <w:p w:rsidR="00C97A12" w:rsidRPr="00F31C21" w:rsidRDefault="00C97A12" w:rsidP="00C97A12">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932C9E">
              <w:rPr>
                <w:sz w:val="22"/>
              </w:rPr>
              <w:t>ом</w:t>
            </w:r>
            <w:r>
              <w:rPr>
                <w:sz w:val="22"/>
              </w:rPr>
              <w:t xml:space="preserve"> и канализацией без ванн</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70</w:t>
            </w:r>
            <w:r w:rsidRPr="00F31C21">
              <w:rPr>
                <w:sz w:val="22"/>
              </w:rPr>
              <w:t xml:space="preserve"> **</w:t>
            </w:r>
          </w:p>
        </w:tc>
        <w:tc>
          <w:tcPr>
            <w:tcW w:w="3402" w:type="dxa"/>
            <w:gridSpan w:val="2"/>
            <w:vMerge w:val="restart"/>
            <w:vAlign w:val="center"/>
          </w:tcPr>
          <w:p w:rsidR="00C97A12" w:rsidRPr="00323B3B" w:rsidRDefault="00C97A12" w:rsidP="007F6399">
            <w:pPr>
              <w:jc w:val="center"/>
            </w:pPr>
            <w:r w:rsidRPr="006B33E2">
              <w:rPr>
                <w:sz w:val="22"/>
              </w:rPr>
              <w:t>Не нормируется</w:t>
            </w:r>
          </w:p>
        </w:tc>
      </w:tr>
      <w:tr w:rsidR="00C97A12" w:rsidRPr="00323B3B" w:rsidTr="007F6399">
        <w:trPr>
          <w:trHeight w:val="555"/>
        </w:trPr>
        <w:tc>
          <w:tcPr>
            <w:tcW w:w="574" w:type="dxa"/>
            <w:vAlign w:val="center"/>
          </w:tcPr>
          <w:p w:rsidR="00C97A12" w:rsidRPr="0050615D" w:rsidRDefault="00C97A12" w:rsidP="007F6399">
            <w:pPr>
              <w:jc w:val="center"/>
            </w:pPr>
            <w:r w:rsidRPr="0050615D">
              <w:t>2</w:t>
            </w:r>
          </w:p>
        </w:tc>
        <w:tc>
          <w:tcPr>
            <w:tcW w:w="2971" w:type="dxa"/>
            <w:vAlign w:val="center"/>
          </w:tcPr>
          <w:p w:rsidR="00C97A12" w:rsidRPr="00F31C21" w:rsidRDefault="00C97A12" w:rsidP="00C97A12">
            <w:pPr>
              <w:jc w:val="center"/>
            </w:pPr>
            <w:r>
              <w:rPr>
                <w:sz w:val="22"/>
              </w:rPr>
              <w:t>с водопровод</w:t>
            </w:r>
            <w:r w:rsidR="00932C9E">
              <w:rPr>
                <w:sz w:val="22"/>
              </w:rPr>
              <w:t>ом</w:t>
            </w:r>
            <w:r>
              <w:rPr>
                <w:sz w:val="22"/>
              </w:rPr>
              <w:t xml:space="preserve"> и канализацией и ваннами с газовыми водонагревателями</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120</w:t>
            </w:r>
            <w:r w:rsidRPr="00F31C21">
              <w:rPr>
                <w:sz w:val="22"/>
              </w:rPr>
              <w:t xml:space="preserve"> **</w:t>
            </w:r>
          </w:p>
        </w:tc>
        <w:tc>
          <w:tcPr>
            <w:tcW w:w="3402" w:type="dxa"/>
            <w:gridSpan w:val="2"/>
            <w:vMerge/>
            <w:vAlign w:val="center"/>
          </w:tcPr>
          <w:p w:rsidR="00C97A12" w:rsidRPr="00323B3B" w:rsidRDefault="00C97A12" w:rsidP="007F6399">
            <w:pPr>
              <w:jc w:val="center"/>
            </w:pPr>
          </w:p>
        </w:tc>
      </w:tr>
      <w:tr w:rsidR="00C97A12" w:rsidRPr="00323B3B" w:rsidTr="007F6399">
        <w:trPr>
          <w:trHeight w:val="555"/>
        </w:trPr>
        <w:tc>
          <w:tcPr>
            <w:tcW w:w="574" w:type="dxa"/>
            <w:vAlign w:val="center"/>
          </w:tcPr>
          <w:p w:rsidR="00C97A12" w:rsidRPr="0050615D" w:rsidRDefault="00C97A12" w:rsidP="007F6399">
            <w:pPr>
              <w:jc w:val="center"/>
            </w:pPr>
            <w:r w:rsidRPr="0050615D">
              <w:t>3</w:t>
            </w:r>
          </w:p>
        </w:tc>
        <w:tc>
          <w:tcPr>
            <w:tcW w:w="2971" w:type="dxa"/>
            <w:vAlign w:val="center"/>
          </w:tcPr>
          <w:p w:rsidR="00C97A12" w:rsidRPr="00F31C21" w:rsidRDefault="00C97A12" w:rsidP="00C97A12">
            <w:pPr>
              <w:jc w:val="center"/>
            </w:pPr>
            <w:r>
              <w:rPr>
                <w:sz w:val="22"/>
              </w:rPr>
              <w:t>С ваннами длиной 1500 мм, оборудованными душами</w:t>
            </w:r>
          </w:p>
        </w:tc>
        <w:tc>
          <w:tcPr>
            <w:tcW w:w="1559" w:type="dxa"/>
            <w:vAlign w:val="center"/>
          </w:tcPr>
          <w:p w:rsidR="00C97A12" w:rsidRPr="00F31C21" w:rsidRDefault="00C97A12" w:rsidP="00C97A12">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C97A12" w:rsidRPr="00F31C21" w:rsidRDefault="00C97A12" w:rsidP="00C97A12">
            <w:pPr>
              <w:jc w:val="center"/>
            </w:pPr>
            <w:r>
              <w:rPr>
                <w:sz w:val="22"/>
              </w:rPr>
              <w:t>180</w:t>
            </w:r>
            <w:r w:rsidRPr="00F31C21">
              <w:rPr>
                <w:sz w:val="22"/>
              </w:rPr>
              <w:t xml:space="preserve"> **</w:t>
            </w:r>
          </w:p>
        </w:tc>
        <w:tc>
          <w:tcPr>
            <w:tcW w:w="3402" w:type="dxa"/>
            <w:gridSpan w:val="2"/>
            <w:vMerge/>
            <w:vAlign w:val="center"/>
          </w:tcPr>
          <w:p w:rsidR="00C97A12" w:rsidRPr="00323B3B" w:rsidRDefault="00C97A12"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C97A12">
        <w:rPr>
          <w:i/>
        </w:rPr>
        <w:t>А.2</w:t>
      </w:r>
      <w:r w:rsidRPr="0050615D">
        <w:rPr>
          <w:i/>
        </w:rPr>
        <w:t xml:space="preserve"> СП 3</w:t>
      </w:r>
      <w:r w:rsidR="00C97A12">
        <w:rPr>
          <w:i/>
        </w:rPr>
        <w:t>0</w:t>
      </w:r>
      <w:r w:rsidRPr="0050615D">
        <w:rPr>
          <w:i/>
        </w:rPr>
        <w:t>.13330.20</w:t>
      </w:r>
      <w:r w:rsidR="00C97A12">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932C9E"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932C9E">
            <w:pPr>
              <w:pStyle w:val="formattext0"/>
              <w:spacing w:before="0" w:beforeAutospacing="0" w:after="0" w:afterAutospacing="0"/>
              <w:textAlignment w:val="baseline"/>
            </w:pPr>
            <w:r w:rsidRPr="00304AB9">
              <w:t>обеспечивают связи жилых</w:t>
            </w:r>
            <w:r w:rsidR="00932C9E">
              <w:t>, общественных</w:t>
            </w:r>
            <w:r w:rsidRPr="00304AB9">
              <w:t xml:space="preserve"> и производственных территорий</w:t>
            </w:r>
            <w:r w:rsidR="00932C9E" w:rsidRPr="00304AB9">
              <w:t xml:space="preserve"> </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D62EF4" w:rsidRDefault="00D62EF4" w:rsidP="00304AB9">
      <w:pPr>
        <w:pStyle w:val="formattext0"/>
        <w:spacing w:before="0" w:beforeAutospacing="0" w:after="0" w:afterAutospacing="0"/>
        <w:jc w:val="right"/>
        <w:textAlignment w:val="baseline"/>
      </w:pP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w:t>
            </w:r>
            <w:r w:rsidRPr="00304AB9">
              <w:rPr>
                <w:sz w:val="22"/>
                <w:szCs w:val="22"/>
              </w:rPr>
              <w:lastRenderedPageBreak/>
              <w:t>улицы сельского поселения</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932C9E">
      <w:pPr>
        <w:pStyle w:val="formattext0"/>
        <w:spacing w:before="0" w:beforeAutospacing="0" w:after="0" w:afterAutospacing="0"/>
        <w:jc w:val="right"/>
        <w:textAlignment w:val="baseline"/>
      </w:pPr>
      <w:r w:rsidRPr="00304AB9">
        <w:lastRenderedPageBreak/>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p w:rsidR="00C97A12" w:rsidRPr="00A57CB7" w:rsidRDefault="00C97A12" w:rsidP="00A57CB7">
      <w:pPr>
        <w:ind w:firstLine="851"/>
        <w:jc w:val="right"/>
        <w:rPr>
          <w:szCs w:val="22"/>
        </w:rPr>
      </w:pPr>
    </w:p>
    <w:tbl>
      <w:tblPr>
        <w:tblW w:w="0" w:type="auto"/>
        <w:tblCellMar>
          <w:left w:w="0" w:type="dxa"/>
          <w:right w:w="0" w:type="dxa"/>
        </w:tblCellMar>
        <w:tblLook w:val="04A0"/>
      </w:tblPr>
      <w:tblGrid>
        <w:gridCol w:w="4357"/>
        <w:gridCol w:w="2588"/>
        <w:gridCol w:w="2558"/>
      </w:tblGrid>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C97A12" w:rsidRPr="00073982" w:rsidTr="00C97A12">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rPr>
                <w:b/>
                <w:bCs/>
                <w:bdr w:val="none" w:sz="0" w:space="0" w:color="auto" w:frame="1"/>
              </w:rPr>
              <w:t>Здания и сооружения</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200-220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по СП 158.13330.2014. Свод правил. Здания и помещения медицинских организаций. Правила проектирования</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25-30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25-55</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25-40</w:t>
            </w:r>
          </w:p>
        </w:tc>
      </w:tr>
      <w:tr w:rsidR="00C97A12" w:rsidRPr="00073982" w:rsidTr="00C97A1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textAlignment w:val="baseline"/>
            </w:pPr>
            <w:r w:rsidRPr="00073982">
              <w:lastRenderedPageBreak/>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073982" w:rsidRDefault="00C97A12" w:rsidP="00C97A12">
            <w:pPr>
              <w:jc w:val="center"/>
              <w:textAlignment w:val="baseline"/>
            </w:pPr>
            <w:r w:rsidRPr="00073982">
              <w:t>40-55</w:t>
            </w:r>
          </w:p>
        </w:tc>
      </w:tr>
    </w:tbl>
    <w:p w:rsidR="00C97A12" w:rsidRPr="00073982" w:rsidRDefault="00C97A12" w:rsidP="00C97A12">
      <w:pPr>
        <w:ind w:firstLine="480"/>
        <w:textAlignment w:val="baseline"/>
        <w:rPr>
          <w:rFonts w:ascii="Arial" w:hAnsi="Arial" w:cs="Arial"/>
          <w:color w:val="444444"/>
        </w:rPr>
      </w:pPr>
    </w:p>
    <w:p w:rsidR="00C97A12" w:rsidRPr="00073982" w:rsidRDefault="00C97A12" w:rsidP="00C97A12">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C97A12">
            <w:pPr>
              <w:jc w:val="center"/>
            </w:pPr>
            <w:r w:rsidRPr="002F0881">
              <w:t xml:space="preserve">объект / </w:t>
            </w:r>
            <w:r w:rsidR="00C97A12">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C97A12">
            <w:pPr>
              <w:jc w:val="center"/>
            </w:pPr>
            <w:r w:rsidRPr="002F0881">
              <w:t xml:space="preserve">объект / </w:t>
            </w:r>
            <w:r w:rsidR="00C97A12">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C97A12" w:rsidP="009734BB">
            <w:pPr>
              <w:jc w:val="center"/>
              <w:rPr>
                <w:color w:val="000000"/>
              </w:rPr>
            </w:pPr>
            <w:r>
              <w:rPr>
                <w:color w:val="000000"/>
                <w:sz w:val="22"/>
                <w:szCs w:val="22"/>
              </w:rPr>
              <w:t>400-6</w:t>
            </w:r>
            <w:r w:rsidR="000113F0">
              <w:rPr>
                <w:color w:val="000000"/>
                <w:sz w:val="22"/>
                <w:szCs w:val="22"/>
              </w:rPr>
              <w:t>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C97A12" w:rsidP="009734BB">
            <w:pPr>
              <w:jc w:val="center"/>
            </w:pPr>
            <w:r>
              <w:rPr>
                <w:sz w:val="22"/>
                <w:szCs w:val="22"/>
              </w:rPr>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lastRenderedPageBreak/>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C97A12">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C97A12">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9"/>
        <w:gridCol w:w="2378"/>
        <w:gridCol w:w="3805"/>
      </w:tblGrid>
      <w:tr w:rsidR="003700A5"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C97A12"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textAlignment w:val="baseline"/>
            </w:pPr>
            <w:r w:rsidRPr="00CE6FA9">
              <w:t>Дошкольные 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spacing w:beforeAutospacing="1" w:afterAutospacing="1"/>
              <w:ind w:left="34"/>
            </w:pPr>
            <w:r w:rsidRPr="00F572D3">
              <w:t xml:space="preserve">Устанавливается в зависимости от демографической структуры поселения, принимая </w:t>
            </w:r>
            <w:r w:rsidRPr="00F572D3">
              <w:lastRenderedPageBreak/>
              <w:t>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lastRenderedPageBreak/>
              <w:t>не более 500 м</w:t>
            </w:r>
          </w:p>
          <w:p w:rsidR="00C97A12" w:rsidRPr="00F572D3" w:rsidRDefault="00C97A12" w:rsidP="00C97A12">
            <w:pPr>
              <w:pStyle w:val="ab"/>
              <w:rPr>
                <w:highlight w:val="yellow"/>
              </w:rPr>
            </w:pPr>
            <w:r w:rsidRPr="00F572D3">
              <w:t>для сельских поселений — до 1 км</w:t>
            </w:r>
          </w:p>
        </w:tc>
      </w:tr>
      <w:tr w:rsidR="00C97A12" w:rsidRPr="00CE6FA9" w:rsidTr="00C97A12">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jc w:val="center"/>
              <w:textAlignment w:val="baseline"/>
            </w:pPr>
            <w:r w:rsidRPr="00CE6FA9">
              <w:lastRenderedPageBreak/>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CE6FA9" w:rsidRDefault="00C97A12" w:rsidP="00865F11">
            <w:pPr>
              <w:textAlignment w:val="baseline"/>
            </w:pPr>
            <w:r w:rsidRPr="00CE6FA9">
              <w:t>Общеобразовательные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97A12" w:rsidRPr="00F572D3" w:rsidRDefault="00C97A12" w:rsidP="00C97A12">
            <w:pPr>
              <w:pStyle w:val="ab"/>
            </w:pPr>
            <w:r w:rsidRPr="00F572D3">
              <w:t>не более 500 м</w:t>
            </w:r>
          </w:p>
          <w:p w:rsidR="00C97A12" w:rsidRPr="00F572D3" w:rsidRDefault="00C97A12" w:rsidP="00C97A12">
            <w:pPr>
              <w:pStyle w:val="ab"/>
            </w:pPr>
            <w:r w:rsidRPr="00F572D3">
              <w:t>для сельских поселений — до 1 км</w:t>
            </w:r>
          </w:p>
          <w:p w:rsidR="00C97A12" w:rsidRPr="00F572D3" w:rsidRDefault="00C97A12" w:rsidP="00C97A12">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C97A12" w:rsidRPr="00F572D3" w:rsidRDefault="00C97A12" w:rsidP="00C97A12">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C97A12">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C97A12">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C97A12">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C97A12" w:rsidP="00CE6FA9">
            <w:pPr>
              <w:jc w:val="both"/>
              <w:textAlignment w:val="baseline"/>
            </w:pPr>
            <w:r>
              <w:t>1</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1C2EFE" w:rsidRPr="00CE6FA9" w:rsidRDefault="00C97A12" w:rsidP="00CE6FA9">
            <w:pPr>
              <w:jc w:val="both"/>
            </w:pPr>
            <w:r w:rsidRPr="00CE6FA9">
              <w:t>не нормируется</w:t>
            </w: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 xml:space="preserve">В населенных пунктах с числом жителей 100-300 человек организуются фельдшерско-акушерские пункты или фельдшерские здравпункты в случае, если расстояние от </w:t>
      </w:r>
      <w:r w:rsidRPr="00CE6FA9">
        <w:lastRenderedPageBreak/>
        <w:t>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p w:rsidR="00C97A12" w:rsidRPr="00297F75" w:rsidRDefault="00C97A12" w:rsidP="00297F75">
      <w:pPr>
        <w:jc w:val="center"/>
        <w:rPr>
          <w:szCs w:val="22"/>
        </w:rPr>
      </w:pPr>
    </w:p>
    <w:tbl>
      <w:tblPr>
        <w:tblW w:w="0" w:type="auto"/>
        <w:tblCellMar>
          <w:left w:w="0" w:type="dxa"/>
          <w:right w:w="0" w:type="dxa"/>
        </w:tblCellMar>
        <w:tblLook w:val="04A0"/>
      </w:tblPr>
      <w:tblGrid>
        <w:gridCol w:w="524"/>
        <w:gridCol w:w="2846"/>
        <w:gridCol w:w="1876"/>
        <w:gridCol w:w="1541"/>
        <w:gridCol w:w="1463"/>
        <w:gridCol w:w="1253"/>
      </w:tblGrid>
      <w:tr w:rsidR="00C97A12" w:rsidRPr="00F572D3" w:rsidTr="00C97A12">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bookmarkStart w:id="1" w:name="_Toc432515930"/>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C97A12" w:rsidRPr="00F572D3" w:rsidTr="00C97A12">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b/>
                <w:bCs/>
                <w:sz w:val="22"/>
                <w:szCs w:val="22"/>
                <w:bdr w:val="none" w:sz="0" w:space="0" w:color="auto" w:frame="1"/>
              </w:rPr>
              <w:t>величина</w:t>
            </w:r>
          </w:p>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не нормируется</w:t>
            </w:r>
          </w:p>
        </w:tc>
      </w:tr>
      <w:tr w:rsidR="00C97A12" w:rsidRPr="00F572D3" w:rsidTr="00C97A12">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p w:rsidR="00C97A12" w:rsidRPr="00F572D3" w:rsidRDefault="00C97A12" w:rsidP="00C97A12">
            <w:pPr>
              <w:jc w:val="center"/>
              <w:textAlignment w:val="baseline"/>
            </w:pPr>
            <w:r w:rsidRPr="00F572D3">
              <w:rPr>
                <w:sz w:val="22"/>
                <w:szCs w:val="22"/>
              </w:rPr>
              <w:t>место /</w:t>
            </w:r>
          </w:p>
          <w:p w:rsidR="00C97A12" w:rsidRPr="00F572D3" w:rsidRDefault="00C97A12" w:rsidP="00C97A12">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pPr>
            <w:r w:rsidRPr="00F572D3">
              <w:rPr>
                <w:sz w:val="22"/>
                <w:szCs w:val="22"/>
              </w:rPr>
              <w:t>не нормируется</w:t>
            </w:r>
          </w:p>
        </w:tc>
      </w:tr>
      <w:tr w:rsidR="00C97A12" w:rsidRPr="00F572D3" w:rsidTr="00C97A12">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pPr>
            <w:r w:rsidRPr="00F572D3">
              <w:rPr>
                <w:sz w:val="22"/>
                <w:szCs w:val="22"/>
              </w:rPr>
              <w:t>не нормируется</w:t>
            </w:r>
          </w:p>
        </w:tc>
      </w:tr>
      <w:tr w:rsidR="00C97A12" w:rsidRPr="00F572D3" w:rsidTr="00C97A12">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w:t>
            </w:r>
          </w:p>
          <w:p w:rsidR="00C97A12" w:rsidRPr="00F572D3" w:rsidRDefault="00C97A12" w:rsidP="00C97A12">
            <w:pPr>
              <w:jc w:val="center"/>
              <w:textAlignment w:val="baseline"/>
            </w:pPr>
          </w:p>
          <w:p w:rsidR="00C97A12" w:rsidRPr="00F572D3" w:rsidRDefault="00C97A12" w:rsidP="00C97A12">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r w:rsidRPr="00F572D3">
              <w:rPr>
                <w:sz w:val="22"/>
                <w:szCs w:val="22"/>
              </w:rPr>
              <w:t>30</w:t>
            </w:r>
          </w:p>
        </w:tc>
      </w:tr>
      <w:tr w:rsidR="00C97A12" w:rsidRPr="00F572D3" w:rsidTr="00C97A12">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место /</w:t>
            </w:r>
          </w:p>
          <w:p w:rsidR="00C97A12" w:rsidRPr="00F572D3" w:rsidRDefault="00C97A12" w:rsidP="00C97A12">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5 – 6</w:t>
            </w:r>
          </w:p>
          <w:p w:rsidR="00C97A12" w:rsidRPr="00F572D3" w:rsidRDefault="00C97A12" w:rsidP="00C97A12">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r w:rsidR="00C97A12" w:rsidRPr="00F572D3" w:rsidTr="00C97A12">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C97A12" w:rsidRPr="00F572D3" w:rsidRDefault="00C97A12" w:rsidP="00C97A12">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C97A12" w:rsidRPr="00F572D3" w:rsidRDefault="00C97A12" w:rsidP="00C97A12"/>
        </w:tc>
      </w:tr>
    </w:tbl>
    <w:p w:rsidR="00C97A12" w:rsidRDefault="00C97A12" w:rsidP="00C97A12">
      <w:pPr>
        <w:pStyle w:val="3"/>
        <w:ind w:firstLine="708"/>
        <w:jc w:val="both"/>
        <w:rPr>
          <w:rFonts w:ascii="Times New Roman" w:hAnsi="Times New Roman" w:cs="Times New Roman"/>
          <w:sz w:val="24"/>
          <w:szCs w:val="24"/>
        </w:rPr>
      </w:pPr>
    </w:p>
    <w:p w:rsidR="004F5E42" w:rsidRDefault="004F5E42" w:rsidP="00297F75">
      <w:pPr>
        <w:pStyle w:val="3"/>
        <w:ind w:firstLine="708"/>
        <w:jc w:val="both"/>
        <w:rPr>
          <w:rFonts w:ascii="Times New Roman" w:hAnsi="Times New Roman" w:cs="Times New Roman"/>
          <w:sz w:val="24"/>
          <w:szCs w:val="24"/>
        </w:rPr>
      </w:pPr>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8"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6"/>
        <w:gridCol w:w="1560"/>
      </w:tblGrid>
      <w:tr w:rsidR="00865F11" w:rsidRPr="00323B3B" w:rsidTr="00C97A12">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686"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C97A12">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126"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C97A12">
        <w:trPr>
          <w:trHeight w:val="713"/>
        </w:trPr>
        <w:tc>
          <w:tcPr>
            <w:tcW w:w="592" w:type="dxa"/>
            <w:vMerge w:val="restart"/>
            <w:vAlign w:val="center"/>
          </w:tcPr>
          <w:p w:rsidR="00865F11" w:rsidRPr="001828E3" w:rsidRDefault="00C97A12"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126"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C97A12">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C97A12" w:rsidP="00C97A12">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C97A12" w:rsidRDefault="00865F11" w:rsidP="00C97A12">
      <w:pPr>
        <w:widowControl w:val="0"/>
        <w:autoSpaceDE w:val="0"/>
        <w:autoSpaceDN w:val="0"/>
        <w:adjustRightInd w:val="0"/>
        <w:spacing w:before="120"/>
        <w:ind w:firstLine="851"/>
        <w:jc w:val="both"/>
        <w:rPr>
          <w:i/>
        </w:rPr>
      </w:pPr>
      <w:r w:rsidRPr="00C532E9">
        <w:rPr>
          <w:i/>
        </w:rPr>
        <w:t>1. *</w:t>
      </w:r>
      <w:r w:rsidR="00C97A12" w:rsidRPr="00C97A12">
        <w:rPr>
          <w:i/>
        </w:rPr>
        <w:t xml:space="preserve"> </w:t>
      </w:r>
      <w:r w:rsidR="00C97A12" w:rsidRPr="00C532E9">
        <w:rPr>
          <w:i/>
        </w:rPr>
        <w:t>Размер площадок должен быть рассчитан на установку необходимого числа контейнеров</w:t>
      </w:r>
      <w:r w:rsidR="00C97A12">
        <w:rPr>
          <w:i/>
        </w:rPr>
        <w:t xml:space="preserve">. В соответствии с пунктом 2.4 раздела 2 постановления Главного государственного санитарного врача РФ от 05.12.2019 г. №20 количество </w:t>
      </w:r>
      <w:r w:rsidR="00C97A12">
        <w:rPr>
          <w:i/>
        </w:rPr>
        <w:lastRenderedPageBreak/>
        <w:t>мусоросборников рассчитывается исходя из численности населения в населенном пункте</w:t>
      </w:r>
      <w:r w:rsidR="00C97A12" w:rsidRPr="00C532E9">
        <w:rPr>
          <w:i/>
        </w:rPr>
        <w:t>.</w:t>
      </w:r>
      <w:r w:rsidR="00E001CC" w:rsidRPr="00C532E9">
        <w:rPr>
          <w:i/>
        </w:rPr>
        <w:t xml:space="preserve">. К площадкам для мусоросборников должны </w:t>
      </w:r>
      <w:proofErr w:type="gramStart"/>
      <w:r w:rsidR="00E001CC" w:rsidRPr="00C532E9">
        <w:rPr>
          <w:i/>
        </w:rPr>
        <w:t>быть</w:t>
      </w:r>
      <w:proofErr w:type="gramEnd"/>
      <w:r w:rsidR="00E001CC" w:rsidRPr="00C532E9">
        <w:rPr>
          <w:i/>
        </w:rPr>
        <w:t xml:space="preserve">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C97A12">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356" w:type="dxa"/>
        <w:tblInd w:w="-34" w:type="dxa"/>
        <w:tblLayout w:type="fixed"/>
        <w:tblLook w:val="04A0"/>
      </w:tblPr>
      <w:tblGrid>
        <w:gridCol w:w="2552"/>
        <w:gridCol w:w="2268"/>
        <w:gridCol w:w="2268"/>
        <w:gridCol w:w="2268"/>
      </w:tblGrid>
      <w:tr w:rsidR="00C532E9" w:rsidRPr="00C532E9" w:rsidTr="00C97A12">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536"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C97A12">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C97A12">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C97A12">
            <w:pPr>
              <w:spacing w:after="200" w:line="276" w:lineRule="auto"/>
              <w:jc w:val="center"/>
              <w:rPr>
                <w:sz w:val="22"/>
                <w:szCs w:val="22"/>
                <w:lang w:eastAsia="en-US"/>
              </w:rPr>
            </w:pPr>
            <w:r w:rsidRPr="00C532E9">
              <w:rPr>
                <w:sz w:val="22"/>
                <w:szCs w:val="22"/>
                <w:lang w:eastAsia="en-US"/>
              </w:rPr>
              <w:t xml:space="preserve">1 объект на </w:t>
            </w:r>
            <w:r w:rsidR="00C97A12">
              <w:rPr>
                <w:sz w:val="22"/>
                <w:szCs w:val="22"/>
                <w:lang w:eastAsia="en-US"/>
              </w:rPr>
              <w:t>15000 жителей</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268"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C97A12">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C97A12">
            <w:pPr>
              <w:pStyle w:val="Default"/>
              <w:spacing w:beforeAutospacing="0" w:afterAutospacing="0"/>
              <w:jc w:val="center"/>
              <w:rPr>
                <w:sz w:val="22"/>
                <w:szCs w:val="22"/>
              </w:rPr>
            </w:pPr>
            <w:r w:rsidRPr="00C532E9">
              <w:rPr>
                <w:sz w:val="22"/>
                <w:szCs w:val="22"/>
              </w:rPr>
              <w:t>0,2</w:t>
            </w:r>
            <w:r w:rsidR="00C97A12">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268"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C97A12" w:rsidRDefault="00C97A12" w:rsidP="00C532E9">
      <w:pPr>
        <w:jc w:val="right"/>
        <w:rPr>
          <w:szCs w:val="22"/>
        </w:rPr>
      </w:pP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639"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698"/>
      </w:tblGrid>
      <w:tr w:rsidR="00D470D0" w:rsidRPr="00323B3B" w:rsidTr="00C97A12">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C97A12">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C97A12">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C97A12">
            <w:pPr>
              <w:jc w:val="center"/>
            </w:pPr>
            <w:r>
              <w:rPr>
                <w:sz w:val="22"/>
              </w:rPr>
              <w:t xml:space="preserve">Помещения </w:t>
            </w:r>
            <w:r w:rsidR="00C97A12">
              <w:rPr>
                <w:sz w:val="22"/>
              </w:rPr>
              <w:t>а</w:t>
            </w:r>
            <w:r>
              <w:rPr>
                <w:sz w:val="22"/>
              </w:rPr>
              <w:t xml:space="preserve">дминистрации </w:t>
            </w:r>
            <w:r w:rsidR="00D62EF4">
              <w:t>Хрущев</w:t>
            </w:r>
            <w:r>
              <w:t xml:space="preserve">ского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C97A12" w:rsidRPr="00323B3B" w:rsidTr="00C97A12">
        <w:trPr>
          <w:trHeight w:val="885"/>
        </w:trPr>
        <w:tc>
          <w:tcPr>
            <w:tcW w:w="567" w:type="dxa"/>
            <w:vMerge/>
            <w:vAlign w:val="center"/>
          </w:tcPr>
          <w:p w:rsidR="00C97A12" w:rsidRPr="00D17410" w:rsidRDefault="00C97A12" w:rsidP="00304AB9">
            <w:pPr>
              <w:jc w:val="center"/>
            </w:pPr>
          </w:p>
        </w:tc>
        <w:tc>
          <w:tcPr>
            <w:tcW w:w="2127" w:type="dxa"/>
            <w:vMerge/>
            <w:vAlign w:val="center"/>
          </w:tcPr>
          <w:p w:rsidR="00C97A12" w:rsidRDefault="00C97A12" w:rsidP="00304AB9"/>
        </w:tc>
        <w:tc>
          <w:tcPr>
            <w:tcW w:w="3724" w:type="dxa"/>
            <w:gridSpan w:val="2"/>
            <w:vAlign w:val="center"/>
          </w:tcPr>
          <w:p w:rsidR="00C97A12" w:rsidRPr="00346E8B" w:rsidRDefault="00C97A12" w:rsidP="00304AB9">
            <w:pPr>
              <w:jc w:val="center"/>
            </w:pPr>
            <w:r>
              <w:t>По заданию на проектирование</w:t>
            </w:r>
          </w:p>
        </w:tc>
        <w:tc>
          <w:tcPr>
            <w:tcW w:w="3221" w:type="dxa"/>
            <w:gridSpan w:val="2"/>
            <w:vMerge/>
            <w:shd w:val="clear" w:color="auto" w:fill="auto"/>
            <w:vAlign w:val="center"/>
          </w:tcPr>
          <w:p w:rsidR="00C97A12" w:rsidRPr="00356872" w:rsidRDefault="00C97A12"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 xml:space="preserve">Наименование одного или нескольких видов объектов </w:t>
            </w:r>
            <w:r w:rsidRPr="00884794">
              <w:rPr>
                <w:b/>
              </w:rPr>
              <w:lastRenderedPageBreak/>
              <w:t>местного значения</w:t>
            </w:r>
          </w:p>
        </w:tc>
        <w:tc>
          <w:tcPr>
            <w:tcW w:w="4929" w:type="dxa"/>
          </w:tcPr>
          <w:p w:rsidR="00F32EE3" w:rsidRPr="00884794" w:rsidRDefault="00F32EE3" w:rsidP="003F1B6F">
            <w:pPr>
              <w:jc w:val="center"/>
              <w:rPr>
                <w:b/>
              </w:rPr>
            </w:pPr>
            <w:r w:rsidRPr="00884794">
              <w:rPr>
                <w:b/>
              </w:rPr>
              <w:lastRenderedPageBreak/>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lastRenderedPageBreak/>
              <w:t xml:space="preserve">Обеспеченность </w:t>
            </w:r>
            <w:r w:rsidR="00D62EF4">
              <w:t>Хрущев</w:t>
            </w:r>
            <w:r>
              <w:t>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D62EF4" w:rsidRDefault="00BA48DA" w:rsidP="00156CAE">
      <w:pPr>
        <w:pStyle w:val="a1"/>
        <w:ind w:firstLine="0"/>
        <w:jc w:val="center"/>
        <w:rPr>
          <w:b/>
          <w:lang w:eastAsia="en-US"/>
        </w:rPr>
      </w:pPr>
      <w:r w:rsidRPr="00D62EF4">
        <w:rPr>
          <w:b/>
          <w:lang w:eastAsia="en-US"/>
        </w:rPr>
        <w:t>1.</w:t>
      </w:r>
      <w:r w:rsidR="00156CAE" w:rsidRPr="00D62EF4">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00D62EF4">
        <w:t>Хрущев</w:t>
      </w:r>
      <w:r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C333AD"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C333AD"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r w:rsidR="00D62EF4">
              <w:t>Хрущев</w:t>
            </w:r>
            <w:r w:rsidR="001175F8" w:rsidRPr="00D676C9">
              <w:t>ского</w:t>
            </w:r>
            <w:r w:rsidR="001175F8" w:rsidRPr="00231862">
              <w:t xml:space="preserve"> </w:t>
            </w:r>
            <w:r>
              <w:t xml:space="preserve">муниципального образования, местные нормативы градостроительного проектирования </w:t>
            </w:r>
            <w:r w:rsidR="00D62EF4">
              <w:t>Хрущев</w:t>
            </w:r>
            <w:r w:rsidR="001175F8" w:rsidRPr="00D676C9">
              <w:t>ского</w:t>
            </w:r>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r w:rsidR="00D62EF4">
              <w:t>Хрущев</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lastRenderedPageBreak/>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r w:rsidR="00D62EF4">
        <w:t>Хрущев</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 xml:space="preserve">ствующих случаях </w:t>
      </w:r>
      <w:r w:rsidRPr="00D60EEC">
        <w:lastRenderedPageBreak/>
        <w:t>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D62EF4">
        <w:t>Хрущев</w:t>
      </w:r>
      <w:r w:rsidRPr="00D676C9">
        <w:t>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62EF4" w:rsidRPr="00D62EF4">
        <w:rPr>
          <w:b/>
        </w:rPr>
        <w:t>Хрущев</w:t>
      </w:r>
      <w:r w:rsidR="00FC6BAD" w:rsidRPr="0033585F">
        <w:rPr>
          <w:b/>
        </w:rPr>
        <w:t>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lastRenderedPageBreak/>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97A12" w:rsidRDefault="00C97A12" w:rsidP="00C97A12">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C97A12" w:rsidRDefault="00C97A12" w:rsidP="00C97A12">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C97A12" w:rsidRPr="0033585F" w:rsidRDefault="00C97A12" w:rsidP="00C97A12">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C97A12" w:rsidRDefault="00C97A12" w:rsidP="00C97A12">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C97A12" w:rsidRDefault="00C97A12" w:rsidP="00C97A12">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C97A12" w:rsidRDefault="00C97A12" w:rsidP="00C97A12">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C97A12" w:rsidRPr="00E9605D" w:rsidRDefault="00C97A12" w:rsidP="00C97A12">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C97A12" w:rsidRDefault="00C97A12" w:rsidP="00C97A12">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C97A12" w:rsidRPr="000A6FFE" w:rsidRDefault="00C97A12" w:rsidP="00C97A12">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C97A12" w:rsidRDefault="00C97A12" w:rsidP="00C97A12">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C97A12" w:rsidRDefault="00C97A12" w:rsidP="00C97A12">
      <w:pPr>
        <w:widowControl w:val="0"/>
        <w:autoSpaceDE w:val="0"/>
        <w:autoSpaceDN w:val="0"/>
        <w:adjustRightInd w:val="0"/>
        <w:ind w:firstLine="709"/>
        <w:jc w:val="both"/>
      </w:pPr>
      <w:r>
        <w:lastRenderedPageBreak/>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C97A12" w:rsidRDefault="00C97A12" w:rsidP="00C97A12">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C97A12" w:rsidRPr="00D959B1" w:rsidRDefault="00C97A12" w:rsidP="00C97A12">
      <w:pPr>
        <w:widowControl w:val="0"/>
        <w:autoSpaceDE w:val="0"/>
        <w:autoSpaceDN w:val="0"/>
        <w:adjustRightInd w:val="0"/>
        <w:ind w:firstLine="709"/>
        <w:jc w:val="both"/>
      </w:pPr>
    </w:p>
    <w:p w:rsidR="00C97A12" w:rsidRPr="00836ECD" w:rsidRDefault="00C97A12" w:rsidP="00C97A12">
      <w:pPr>
        <w:autoSpaceDE w:val="0"/>
        <w:autoSpaceDN w:val="0"/>
        <w:adjustRightInd w:val="0"/>
        <w:ind w:firstLine="708"/>
        <w:rPr>
          <w:b/>
        </w:rPr>
      </w:pPr>
      <w:r>
        <w:rPr>
          <w:b/>
        </w:rPr>
        <w:t>1.</w:t>
      </w:r>
      <w:r w:rsidRPr="00836ECD">
        <w:rPr>
          <w:b/>
        </w:rPr>
        <w:t>3.</w:t>
      </w:r>
      <w:r>
        <w:rPr>
          <w:b/>
        </w:rPr>
        <w:t>2</w:t>
      </w:r>
      <w:r w:rsidRPr="00836ECD">
        <w:rPr>
          <w:b/>
        </w:rPr>
        <w:t>.2. Законы и иные нормативные правовые акты Саратовской области:</w:t>
      </w:r>
    </w:p>
    <w:p w:rsidR="00C97A12" w:rsidRPr="00836ECD" w:rsidRDefault="00C97A12" w:rsidP="00C97A12">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10.06.2022) «О регулировании градостроительной деятельности в Саратовской области»;</w:t>
      </w:r>
    </w:p>
    <w:p w:rsidR="00C97A12" w:rsidRPr="00836ECD" w:rsidRDefault="00C97A12" w:rsidP="00C97A12">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 xml:space="preserve">Закон Саратовской области 29 декабря 2004 г. №116-ЗСО «О муниципальных образованиях, входящих в состав </w:t>
      </w:r>
      <w:proofErr w:type="spellStart"/>
      <w:r w:rsidRPr="00836ECD">
        <w:rPr>
          <w:lang w:eastAsia="en-US"/>
        </w:rPr>
        <w:t>Самойловского</w:t>
      </w:r>
      <w:proofErr w:type="spellEnd"/>
      <w:r w:rsidRPr="00836ECD">
        <w:rPr>
          <w:lang w:eastAsia="en-US"/>
        </w:rPr>
        <w:t xml:space="preserve"> муниципального района»;</w:t>
      </w:r>
    </w:p>
    <w:p w:rsidR="00C97A12" w:rsidRPr="00836ECD" w:rsidRDefault="00C97A12" w:rsidP="00C97A12">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C97A12" w:rsidRDefault="00C97A12" w:rsidP="00C97A12">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C97A12" w:rsidRPr="00836ECD" w:rsidRDefault="00C97A12" w:rsidP="00C97A12">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C97A12" w:rsidRDefault="00C97A12" w:rsidP="00C97A12">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C97A12" w:rsidRPr="007B677B" w:rsidRDefault="00C97A12" w:rsidP="00C97A12">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C97A12">
        <w:rPr>
          <w:b/>
          <w:lang w:eastAsia="en-US"/>
        </w:rPr>
        <w:t>4</w:t>
      </w:r>
      <w:r w:rsidR="00836ECD" w:rsidRPr="00836ECD">
        <w:rPr>
          <w:b/>
          <w:lang w:eastAsia="en-US"/>
        </w:rPr>
        <w:t>.</w:t>
      </w:r>
      <w:r w:rsidR="005F290F" w:rsidRPr="00836ECD">
        <w:rPr>
          <w:b/>
          <w:lang w:eastAsia="en-US"/>
        </w:rPr>
        <w:t xml:space="preserve"> Муниципальные правовые акты </w:t>
      </w:r>
      <w:r w:rsidR="00D62EF4" w:rsidRPr="00D62EF4">
        <w:rPr>
          <w:b/>
        </w:rPr>
        <w:t>Хрущев</w:t>
      </w:r>
      <w:r w:rsidR="001175F8" w:rsidRPr="001175F8">
        <w:rPr>
          <w:b/>
        </w:rPr>
        <w:t>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00D62EF4">
        <w:t>Хрущев</w:t>
      </w:r>
      <w:r w:rsidR="001175F8" w:rsidRPr="00D676C9">
        <w:t>ского</w:t>
      </w:r>
      <w:r w:rsidRPr="00836ECD">
        <w:t xml:space="preserve"> </w:t>
      </w:r>
      <w:r w:rsidRPr="00836ECD">
        <w:rPr>
          <w:lang w:eastAsia="en-US"/>
        </w:rPr>
        <w:t>муниципального образования;</w:t>
      </w: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932C9E" w:rsidRDefault="00932C9E" w:rsidP="003F1B6F">
      <w:pPr>
        <w:jc w:val="center"/>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r w:rsidR="00D62EF4" w:rsidRPr="00D62EF4">
        <w:rPr>
          <w:b/>
        </w:rPr>
        <w:t>Хрущев</w:t>
      </w:r>
      <w:r>
        <w:rPr>
          <w:b/>
          <w:spacing w:val="-6"/>
        </w:rPr>
        <w:t>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r w:rsidR="00D62EF4">
        <w:t>Хрущев</w:t>
      </w:r>
      <w:r w:rsidR="00D3180D">
        <w:rPr>
          <w:spacing w:val="-6"/>
        </w:rPr>
        <w:t>ское</w:t>
      </w:r>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D62EF4" w:rsidRPr="000333AC">
        <w:rPr>
          <w:spacing w:val="-6"/>
        </w:rPr>
        <w:t xml:space="preserve">Площадь муниципального образования- </w:t>
      </w:r>
      <w:r w:rsidR="00D62EF4" w:rsidRPr="00F452C3">
        <w:rPr>
          <w:spacing w:val="-6"/>
        </w:rPr>
        <w:t>39653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r w:rsidR="00D62EF4">
        <w:t>Хрущев</w:t>
      </w:r>
      <w:r w:rsidR="001175F8" w:rsidRPr="00904109">
        <w:rPr>
          <w:bCs/>
        </w:rPr>
        <w:t>ского</w:t>
      </w:r>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r w:rsidR="00D62EF4">
        <w:t>Хрущев</w:t>
      </w:r>
      <w:r w:rsidRPr="007B3362">
        <w:rPr>
          <w:bCs/>
        </w:rPr>
        <w:t>ское</w:t>
      </w:r>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r w:rsidR="00D62EF4">
        <w:t>Хрущев</w:t>
      </w:r>
      <w:r w:rsidRPr="007B3362">
        <w:rPr>
          <w:bCs/>
        </w:rPr>
        <w:t>ское</w:t>
      </w:r>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r w:rsidR="00D62EF4">
        <w:t>Хрущев</w:t>
      </w:r>
      <w:r w:rsidR="00D3180D" w:rsidRPr="000333AC">
        <w:rPr>
          <w:bCs/>
        </w:rPr>
        <w:t>ско</w:t>
      </w:r>
      <w:r w:rsidR="00D3180D">
        <w:rPr>
          <w:bCs/>
        </w:rPr>
        <w:t>го</w:t>
      </w:r>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D62EF4" w:rsidRPr="006B3F4C" w:rsidRDefault="00D62EF4" w:rsidP="00D62EF4">
      <w:pPr>
        <w:autoSpaceDE w:val="0"/>
        <w:autoSpaceDN w:val="0"/>
        <w:adjustRightInd w:val="0"/>
        <w:ind w:firstLine="567"/>
        <w:jc w:val="both"/>
        <w:rPr>
          <w:bCs/>
        </w:rPr>
      </w:pPr>
      <w:r w:rsidRPr="006B3F4C">
        <w:rPr>
          <w:bCs/>
        </w:rPr>
        <w:t xml:space="preserve">1) село </w:t>
      </w:r>
      <w:proofErr w:type="spellStart"/>
      <w:r w:rsidRPr="00F452C3">
        <w:rPr>
          <w:bCs/>
        </w:rPr>
        <w:t>Хрущёвка</w:t>
      </w:r>
      <w:proofErr w:type="spellEnd"/>
      <w:r w:rsidRPr="006B3F4C">
        <w:rPr>
          <w:bCs/>
        </w:rPr>
        <w:t>;</w:t>
      </w:r>
    </w:p>
    <w:p w:rsidR="00D62EF4" w:rsidRDefault="00D62EF4" w:rsidP="00D62EF4">
      <w:pPr>
        <w:autoSpaceDE w:val="0"/>
        <w:autoSpaceDN w:val="0"/>
        <w:adjustRightInd w:val="0"/>
        <w:ind w:firstLine="567"/>
        <w:jc w:val="both"/>
        <w:rPr>
          <w:bCs/>
        </w:rPr>
      </w:pPr>
      <w:r w:rsidRPr="006B3F4C">
        <w:rPr>
          <w:bCs/>
        </w:rPr>
        <w:t xml:space="preserve">2) село </w:t>
      </w:r>
      <w:r w:rsidRPr="00F452C3">
        <w:rPr>
          <w:bCs/>
        </w:rPr>
        <w:t>Голицыно</w:t>
      </w:r>
      <w:r>
        <w:rPr>
          <w:bCs/>
        </w:rPr>
        <w:t>;</w:t>
      </w:r>
    </w:p>
    <w:p w:rsidR="00D62EF4" w:rsidRDefault="00D62EF4" w:rsidP="00D62EF4">
      <w:pPr>
        <w:autoSpaceDE w:val="0"/>
        <w:autoSpaceDN w:val="0"/>
        <w:adjustRightInd w:val="0"/>
        <w:ind w:firstLine="567"/>
        <w:jc w:val="both"/>
        <w:rPr>
          <w:bCs/>
        </w:rPr>
      </w:pPr>
      <w:r>
        <w:rPr>
          <w:bCs/>
        </w:rPr>
        <w:t xml:space="preserve">3) поселок </w:t>
      </w:r>
      <w:r w:rsidRPr="00F452C3">
        <w:rPr>
          <w:bCs/>
        </w:rPr>
        <w:t>Кириков</w:t>
      </w:r>
      <w:r>
        <w:rPr>
          <w:bCs/>
        </w:rPr>
        <w:t>;</w:t>
      </w:r>
    </w:p>
    <w:p w:rsidR="00D62EF4" w:rsidRDefault="00D62EF4" w:rsidP="00D62EF4">
      <w:pPr>
        <w:autoSpaceDE w:val="0"/>
        <w:autoSpaceDN w:val="0"/>
        <w:adjustRightInd w:val="0"/>
        <w:ind w:firstLine="567"/>
        <w:jc w:val="both"/>
        <w:rPr>
          <w:bCs/>
        </w:rPr>
      </w:pPr>
      <w:r>
        <w:rPr>
          <w:bCs/>
        </w:rPr>
        <w:t xml:space="preserve">4) поселок </w:t>
      </w:r>
      <w:proofErr w:type="spellStart"/>
      <w:r w:rsidRPr="00F452C3">
        <w:rPr>
          <w:bCs/>
        </w:rPr>
        <w:t>Новосамойловский</w:t>
      </w:r>
      <w:proofErr w:type="spellEnd"/>
      <w:r>
        <w:rPr>
          <w:bCs/>
        </w:rPr>
        <w:t>;</w:t>
      </w:r>
    </w:p>
    <w:p w:rsidR="00D62EF4" w:rsidRDefault="00D62EF4" w:rsidP="00D62EF4">
      <w:pPr>
        <w:autoSpaceDE w:val="0"/>
        <w:autoSpaceDN w:val="0"/>
        <w:adjustRightInd w:val="0"/>
        <w:ind w:firstLine="567"/>
        <w:jc w:val="both"/>
        <w:rPr>
          <w:bCs/>
        </w:rPr>
      </w:pPr>
      <w:r>
        <w:rPr>
          <w:bCs/>
        </w:rPr>
        <w:t>5) поселок Садовый.</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r w:rsidR="00D62EF4">
        <w:rPr>
          <w:b/>
          <w:bCs/>
        </w:rPr>
        <w:t>Хрущев</w:t>
      </w:r>
      <w:r w:rsidRPr="003A0602">
        <w:rPr>
          <w:b/>
          <w:bCs/>
        </w:rPr>
        <w:t>ского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A5625B">
            <w:pPr>
              <w:autoSpaceDE w:val="0"/>
              <w:autoSpaceDN w:val="0"/>
              <w:adjustRightInd w:val="0"/>
              <w:jc w:val="center"/>
              <w:rPr>
                <w:b/>
                <w:bCs/>
              </w:rPr>
            </w:pPr>
            <w:r>
              <w:rPr>
                <w:b/>
                <w:bCs/>
              </w:rPr>
              <w:t>Численность населения на 01.</w:t>
            </w:r>
            <w:r w:rsidR="00A5625B">
              <w:rPr>
                <w:b/>
                <w:bCs/>
              </w:rPr>
              <w:t>10</w:t>
            </w:r>
            <w:r>
              <w:rPr>
                <w:b/>
                <w:bCs/>
              </w:rPr>
              <w:t>.20</w:t>
            </w:r>
            <w:r w:rsidR="00776FC7">
              <w:rPr>
                <w:b/>
                <w:bCs/>
              </w:rPr>
              <w:t>22</w:t>
            </w:r>
            <w:r>
              <w:rPr>
                <w:b/>
                <w:bCs/>
              </w:rPr>
              <w:t xml:space="preserve"> г.</w:t>
            </w:r>
          </w:p>
        </w:tc>
      </w:tr>
      <w:tr w:rsidR="00D62EF4" w:rsidRPr="00DC4303" w:rsidTr="00776FC7">
        <w:trPr>
          <w:trHeight w:val="20"/>
          <w:jc w:val="center"/>
        </w:trPr>
        <w:tc>
          <w:tcPr>
            <w:tcW w:w="1702" w:type="dxa"/>
            <w:vMerge w:val="restart"/>
            <w:tcMar>
              <w:left w:w="28" w:type="dxa"/>
              <w:right w:w="28" w:type="dxa"/>
            </w:tcMar>
            <w:vAlign w:val="center"/>
          </w:tcPr>
          <w:p w:rsidR="00D62EF4" w:rsidRPr="00DD08CD" w:rsidRDefault="00D62EF4" w:rsidP="003E363D">
            <w:pPr>
              <w:autoSpaceDE w:val="0"/>
              <w:autoSpaceDN w:val="0"/>
              <w:adjustRightInd w:val="0"/>
              <w:jc w:val="center"/>
              <w:rPr>
                <w:bCs/>
              </w:rPr>
            </w:pPr>
            <w:proofErr w:type="spellStart"/>
            <w:r>
              <w:rPr>
                <w:bCs/>
              </w:rPr>
              <w:t>Хрущевское</w:t>
            </w:r>
            <w:r w:rsidRPr="00DD08CD">
              <w:rPr>
                <w:bCs/>
              </w:rPr>
              <w:t>муниципальное</w:t>
            </w:r>
            <w:proofErr w:type="spellEnd"/>
            <w:r w:rsidRPr="00DD08CD">
              <w:rPr>
                <w:bCs/>
              </w:rPr>
              <w:t xml:space="preserve"> образование</w:t>
            </w:r>
          </w:p>
        </w:tc>
        <w:tc>
          <w:tcPr>
            <w:tcW w:w="1418" w:type="dxa"/>
            <w:vMerge w:val="restart"/>
            <w:tcMar>
              <w:left w:w="28" w:type="dxa"/>
              <w:right w:w="28" w:type="dxa"/>
            </w:tcMar>
            <w:vAlign w:val="center"/>
          </w:tcPr>
          <w:p w:rsidR="00D62EF4" w:rsidRPr="00DD08CD" w:rsidRDefault="00D62EF4" w:rsidP="003E363D">
            <w:pPr>
              <w:autoSpaceDE w:val="0"/>
              <w:autoSpaceDN w:val="0"/>
              <w:adjustRightInd w:val="0"/>
              <w:jc w:val="center"/>
              <w:rPr>
                <w:bCs/>
              </w:rPr>
            </w:pPr>
            <w:r w:rsidRPr="00DD08CD">
              <w:rPr>
                <w:bCs/>
              </w:rPr>
              <w:t>сельское поселение</w:t>
            </w:r>
          </w:p>
        </w:tc>
        <w:tc>
          <w:tcPr>
            <w:tcW w:w="1559" w:type="dxa"/>
            <w:vMerge w:val="restart"/>
            <w:tcBorders>
              <w:top w:val="single" w:sz="4" w:space="0" w:color="auto"/>
            </w:tcBorders>
            <w:tcMar>
              <w:left w:w="28" w:type="dxa"/>
              <w:right w:w="28" w:type="dxa"/>
            </w:tcMar>
            <w:vAlign w:val="center"/>
          </w:tcPr>
          <w:p w:rsidR="00D62EF4" w:rsidRPr="00DD08CD" w:rsidRDefault="00D62EF4" w:rsidP="003E363D">
            <w:pPr>
              <w:autoSpaceDE w:val="0"/>
              <w:autoSpaceDN w:val="0"/>
              <w:adjustRightInd w:val="0"/>
              <w:jc w:val="center"/>
              <w:rPr>
                <w:bCs/>
              </w:rPr>
            </w:pPr>
            <w:r w:rsidRPr="000B0652">
              <w:rPr>
                <w:bCs/>
              </w:rPr>
              <w:t xml:space="preserve">село </w:t>
            </w:r>
            <w:proofErr w:type="spellStart"/>
            <w:r>
              <w:rPr>
                <w:bCs/>
              </w:rPr>
              <w:t>Хрущевка</w:t>
            </w:r>
            <w:proofErr w:type="spellEnd"/>
          </w:p>
        </w:tc>
        <w:tc>
          <w:tcPr>
            <w:tcW w:w="2126" w:type="dxa"/>
            <w:tcMar>
              <w:left w:w="28" w:type="dxa"/>
              <w:right w:w="28" w:type="dxa"/>
            </w:tcMar>
            <w:vAlign w:val="center"/>
          </w:tcPr>
          <w:p w:rsidR="00D62EF4" w:rsidRPr="00DD08CD" w:rsidRDefault="00D62EF4" w:rsidP="003E363D">
            <w:pPr>
              <w:autoSpaceDE w:val="0"/>
              <w:autoSpaceDN w:val="0"/>
              <w:adjustRightInd w:val="0"/>
              <w:jc w:val="center"/>
              <w:rPr>
                <w:bCs/>
              </w:rPr>
            </w:pPr>
            <w:r>
              <w:rPr>
                <w:bCs/>
              </w:rPr>
              <w:t xml:space="preserve">село </w:t>
            </w:r>
            <w:proofErr w:type="spellStart"/>
            <w:r>
              <w:rPr>
                <w:bCs/>
              </w:rPr>
              <w:t>Хрущевка</w:t>
            </w:r>
            <w:proofErr w:type="spellEnd"/>
          </w:p>
        </w:tc>
        <w:tc>
          <w:tcPr>
            <w:tcW w:w="1276" w:type="dxa"/>
            <w:tcMar>
              <w:left w:w="28" w:type="dxa"/>
              <w:right w:w="28" w:type="dxa"/>
            </w:tcMar>
            <w:vAlign w:val="center"/>
          </w:tcPr>
          <w:p w:rsidR="00D62EF4" w:rsidRPr="00DD08CD" w:rsidRDefault="00D62EF4" w:rsidP="003E363D">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D62EF4" w:rsidRDefault="00D62EF4" w:rsidP="00A5625B">
            <w:pPr>
              <w:autoSpaceDE w:val="0"/>
              <w:autoSpaceDN w:val="0"/>
              <w:adjustRightInd w:val="0"/>
              <w:jc w:val="both"/>
              <w:rPr>
                <w:bCs/>
              </w:rPr>
            </w:pPr>
            <w:r>
              <w:rPr>
                <w:bCs/>
              </w:rPr>
              <w:t>10</w:t>
            </w:r>
            <w:r w:rsidR="00A5625B">
              <w:rPr>
                <w:bCs/>
              </w:rPr>
              <w:t>30</w:t>
            </w:r>
            <w:r>
              <w:rPr>
                <w:bCs/>
              </w:rPr>
              <w:t xml:space="preserve"> </w:t>
            </w:r>
            <w:r w:rsidRPr="00DC4303">
              <w:rPr>
                <w:bCs/>
              </w:rPr>
              <w:t>чел.</w:t>
            </w: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sidRPr="006B3F4C">
              <w:rPr>
                <w:bCs/>
              </w:rPr>
              <w:t xml:space="preserve">село </w:t>
            </w:r>
            <w:r w:rsidRPr="00F452C3">
              <w:rPr>
                <w:bCs/>
              </w:rPr>
              <w:t>Голицыно</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18</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Pr>
                <w:bCs/>
              </w:rPr>
              <w:t xml:space="preserve">поселок </w:t>
            </w:r>
            <w:r w:rsidRPr="00F452C3">
              <w:rPr>
                <w:bCs/>
              </w:rPr>
              <w:t>Кириков</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3</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Pr="00DD08CD" w:rsidRDefault="00D62EF4" w:rsidP="00FD02B0">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12</w:t>
            </w:r>
          </w:p>
        </w:tc>
        <w:tc>
          <w:tcPr>
            <w:tcW w:w="1276" w:type="dxa"/>
            <w:vMerge/>
            <w:tcMar>
              <w:left w:w="28" w:type="dxa"/>
              <w:right w:w="28" w:type="dxa"/>
            </w:tcMar>
            <w:vAlign w:val="center"/>
          </w:tcPr>
          <w:p w:rsidR="00D62EF4" w:rsidRPr="00DC4303" w:rsidRDefault="00D62EF4" w:rsidP="0082232A">
            <w:pPr>
              <w:autoSpaceDE w:val="0"/>
              <w:autoSpaceDN w:val="0"/>
              <w:adjustRightInd w:val="0"/>
              <w:jc w:val="both"/>
              <w:rPr>
                <w:bCs/>
              </w:rPr>
            </w:pPr>
          </w:p>
        </w:tc>
      </w:tr>
      <w:tr w:rsidR="00D62EF4" w:rsidRPr="00DC4303" w:rsidTr="009E7B0D">
        <w:trPr>
          <w:trHeight w:val="20"/>
          <w:jc w:val="center"/>
        </w:trPr>
        <w:tc>
          <w:tcPr>
            <w:tcW w:w="1702" w:type="dxa"/>
            <w:vMerge/>
            <w:tcMar>
              <w:left w:w="28" w:type="dxa"/>
              <w:right w:w="28" w:type="dxa"/>
            </w:tcMar>
            <w:vAlign w:val="center"/>
          </w:tcPr>
          <w:p w:rsidR="00D62EF4" w:rsidRDefault="00D62EF4" w:rsidP="00D3180D">
            <w:pPr>
              <w:autoSpaceDE w:val="0"/>
              <w:autoSpaceDN w:val="0"/>
              <w:adjustRightInd w:val="0"/>
              <w:jc w:val="center"/>
              <w:rPr>
                <w:bCs/>
              </w:rPr>
            </w:pPr>
          </w:p>
        </w:tc>
        <w:tc>
          <w:tcPr>
            <w:tcW w:w="1418" w:type="dxa"/>
            <w:vMerge/>
            <w:tcMar>
              <w:left w:w="28" w:type="dxa"/>
              <w:right w:w="28" w:type="dxa"/>
            </w:tcMar>
            <w:vAlign w:val="center"/>
          </w:tcPr>
          <w:p w:rsidR="00D62EF4" w:rsidRPr="00DD08CD" w:rsidRDefault="00D62EF4" w:rsidP="00D3180D">
            <w:pPr>
              <w:autoSpaceDE w:val="0"/>
              <w:autoSpaceDN w:val="0"/>
              <w:adjustRightInd w:val="0"/>
              <w:jc w:val="center"/>
              <w:rPr>
                <w:bCs/>
              </w:rPr>
            </w:pPr>
          </w:p>
        </w:tc>
        <w:tc>
          <w:tcPr>
            <w:tcW w:w="1559" w:type="dxa"/>
            <w:vMerge/>
            <w:tcMar>
              <w:left w:w="28" w:type="dxa"/>
              <w:right w:w="28" w:type="dxa"/>
            </w:tcMar>
            <w:vAlign w:val="center"/>
          </w:tcPr>
          <w:p w:rsidR="00D62EF4" w:rsidRPr="000B0652" w:rsidRDefault="00D62EF4" w:rsidP="00D3180D">
            <w:pPr>
              <w:autoSpaceDE w:val="0"/>
              <w:autoSpaceDN w:val="0"/>
              <w:adjustRightInd w:val="0"/>
              <w:jc w:val="center"/>
              <w:rPr>
                <w:bCs/>
              </w:rPr>
            </w:pPr>
          </w:p>
        </w:tc>
        <w:tc>
          <w:tcPr>
            <w:tcW w:w="2126" w:type="dxa"/>
            <w:tcMar>
              <w:left w:w="28" w:type="dxa"/>
              <w:right w:w="28" w:type="dxa"/>
            </w:tcMar>
            <w:vAlign w:val="center"/>
          </w:tcPr>
          <w:p w:rsidR="00D62EF4" w:rsidRDefault="00D62EF4" w:rsidP="00FD02B0">
            <w:pPr>
              <w:autoSpaceDE w:val="0"/>
              <w:autoSpaceDN w:val="0"/>
              <w:adjustRightInd w:val="0"/>
              <w:jc w:val="center"/>
              <w:rPr>
                <w:bCs/>
              </w:rPr>
            </w:pPr>
            <w:r>
              <w:rPr>
                <w:bCs/>
              </w:rPr>
              <w:t>поселок Садовый</w:t>
            </w:r>
          </w:p>
        </w:tc>
        <w:tc>
          <w:tcPr>
            <w:tcW w:w="1276" w:type="dxa"/>
            <w:tcMar>
              <w:left w:w="28" w:type="dxa"/>
              <w:right w:w="28" w:type="dxa"/>
            </w:tcMar>
            <w:vAlign w:val="center"/>
          </w:tcPr>
          <w:p w:rsidR="00D62EF4" w:rsidRPr="00DD08CD" w:rsidRDefault="00D62EF4" w:rsidP="00D3180D">
            <w:pPr>
              <w:autoSpaceDE w:val="0"/>
              <w:autoSpaceDN w:val="0"/>
              <w:adjustRightInd w:val="0"/>
              <w:jc w:val="center"/>
              <w:rPr>
                <w:bCs/>
              </w:rPr>
            </w:pPr>
            <w:r>
              <w:rPr>
                <w:bCs/>
              </w:rPr>
              <w:t>13</w:t>
            </w:r>
          </w:p>
        </w:tc>
        <w:tc>
          <w:tcPr>
            <w:tcW w:w="1276" w:type="dxa"/>
            <w:vMerge/>
            <w:tcMar>
              <w:left w:w="28" w:type="dxa"/>
              <w:right w:w="28" w:type="dxa"/>
            </w:tcMar>
            <w:vAlign w:val="center"/>
          </w:tcPr>
          <w:p w:rsidR="00D62EF4" w:rsidRDefault="00D62EF4" w:rsidP="0082232A">
            <w:pPr>
              <w:autoSpaceDE w:val="0"/>
              <w:autoSpaceDN w:val="0"/>
              <w:adjustRightInd w:val="0"/>
              <w:jc w:val="both"/>
              <w:rPr>
                <w:bCs/>
              </w:rPr>
            </w:pPr>
          </w:p>
        </w:tc>
      </w:tr>
      <w:tr w:rsidR="00D62EF4" w:rsidRPr="00DC4303" w:rsidTr="00776FC7">
        <w:trPr>
          <w:trHeight w:val="552"/>
          <w:jc w:val="center"/>
        </w:trPr>
        <w:tc>
          <w:tcPr>
            <w:tcW w:w="1702"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D62EF4" w:rsidRPr="00DD08CD" w:rsidRDefault="00D62EF4" w:rsidP="003E363D">
            <w:pPr>
              <w:autoSpaceDE w:val="0"/>
              <w:autoSpaceDN w:val="0"/>
              <w:adjustRightInd w:val="0"/>
              <w:ind w:firstLine="567"/>
              <w:jc w:val="both"/>
              <w:rPr>
                <w:bCs/>
              </w:rPr>
            </w:pPr>
            <w:r w:rsidRPr="00DD08CD">
              <w:rPr>
                <w:bCs/>
              </w:rPr>
              <w:t>Всего</w:t>
            </w:r>
          </w:p>
        </w:tc>
        <w:tc>
          <w:tcPr>
            <w:tcW w:w="2126" w:type="dxa"/>
            <w:tcBorders>
              <w:bottom w:val="single" w:sz="8" w:space="0" w:color="auto"/>
            </w:tcBorders>
            <w:tcMar>
              <w:left w:w="28" w:type="dxa"/>
              <w:right w:w="28" w:type="dxa"/>
            </w:tcMar>
            <w:vAlign w:val="center"/>
          </w:tcPr>
          <w:p w:rsidR="00D62EF4" w:rsidRDefault="00D62EF4" w:rsidP="003E363D">
            <w:pPr>
              <w:autoSpaceDE w:val="0"/>
              <w:autoSpaceDN w:val="0"/>
              <w:adjustRightInd w:val="0"/>
              <w:jc w:val="center"/>
              <w:rPr>
                <w:bCs/>
              </w:rPr>
            </w:pPr>
            <w:r>
              <w:rPr>
                <w:bCs/>
              </w:rPr>
              <w:t>5</w:t>
            </w:r>
          </w:p>
        </w:tc>
        <w:tc>
          <w:tcPr>
            <w:tcW w:w="1276" w:type="dxa"/>
            <w:tcBorders>
              <w:bottom w:val="single" w:sz="8" w:space="0" w:color="auto"/>
            </w:tcBorders>
            <w:tcMar>
              <w:left w:w="28" w:type="dxa"/>
              <w:right w:w="28" w:type="dxa"/>
            </w:tcMar>
            <w:vAlign w:val="center"/>
          </w:tcPr>
          <w:p w:rsidR="00D62EF4" w:rsidRPr="00363457" w:rsidRDefault="00D62EF4" w:rsidP="003E363D">
            <w:pPr>
              <w:autoSpaceDE w:val="0"/>
              <w:autoSpaceDN w:val="0"/>
              <w:adjustRightInd w:val="0"/>
              <w:ind w:firstLine="567"/>
              <w:rPr>
                <w:bCs/>
              </w:rPr>
            </w:pPr>
            <w:r w:rsidRPr="00DD08CD">
              <w:rPr>
                <w:bCs/>
              </w:rPr>
              <w:t>-</w:t>
            </w:r>
          </w:p>
        </w:tc>
        <w:tc>
          <w:tcPr>
            <w:tcW w:w="1276" w:type="dxa"/>
            <w:vMerge/>
            <w:tcBorders>
              <w:bottom w:val="single" w:sz="8" w:space="0" w:color="auto"/>
            </w:tcBorders>
            <w:tcMar>
              <w:left w:w="28" w:type="dxa"/>
              <w:right w:w="28" w:type="dxa"/>
            </w:tcMar>
            <w:vAlign w:val="center"/>
          </w:tcPr>
          <w:p w:rsidR="00D62EF4" w:rsidRPr="00DC4303" w:rsidRDefault="00D62EF4"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w:t>
      </w:r>
      <w:r w:rsidR="00567013" w:rsidRPr="009E5B79">
        <w:rPr>
          <w:bCs/>
        </w:rPr>
        <w:lastRenderedPageBreak/>
        <w:t xml:space="preserve">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r w:rsidR="00D62EF4">
        <w:t>Хрущев</w:t>
      </w:r>
      <w:r w:rsidR="00567013">
        <w:t>ского</w:t>
      </w:r>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lastRenderedPageBreak/>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r w:rsidR="00D62EF4">
        <w:rPr>
          <w:b/>
          <w:bCs/>
        </w:rPr>
        <w:t>Хрущев</w:t>
      </w:r>
      <w:r>
        <w:rPr>
          <w:b/>
          <w:bCs/>
        </w:rPr>
        <w:t xml:space="preserve">ского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D62EF4" w:rsidRPr="00200878" w:rsidTr="003E363D">
        <w:trPr>
          <w:trHeight w:val="257"/>
        </w:trPr>
        <w:tc>
          <w:tcPr>
            <w:tcW w:w="1101" w:type="dxa"/>
          </w:tcPr>
          <w:p w:rsidR="00D62EF4" w:rsidRPr="00B81807" w:rsidRDefault="00D62EF4" w:rsidP="009E7B0D">
            <w:pPr>
              <w:jc w:val="center"/>
            </w:pPr>
            <w:r>
              <w:t>1</w:t>
            </w:r>
          </w:p>
        </w:tc>
        <w:tc>
          <w:tcPr>
            <w:tcW w:w="8470" w:type="dxa"/>
            <w:shd w:val="clear" w:color="auto" w:fill="auto"/>
            <w:vAlign w:val="center"/>
          </w:tcPr>
          <w:p w:rsidR="00D62EF4" w:rsidRPr="00DD08CD" w:rsidRDefault="00D62EF4" w:rsidP="003E363D">
            <w:pPr>
              <w:autoSpaceDE w:val="0"/>
              <w:autoSpaceDN w:val="0"/>
              <w:adjustRightInd w:val="0"/>
              <w:jc w:val="center"/>
              <w:rPr>
                <w:bCs/>
              </w:rPr>
            </w:pPr>
            <w:r>
              <w:rPr>
                <w:bCs/>
              </w:rPr>
              <w:t xml:space="preserve">село </w:t>
            </w:r>
            <w:proofErr w:type="spellStart"/>
            <w:r>
              <w:rPr>
                <w:bCs/>
              </w:rPr>
              <w:t>Хрущевка</w:t>
            </w:r>
            <w:proofErr w:type="spellEnd"/>
          </w:p>
        </w:tc>
      </w:tr>
      <w:tr w:rsidR="00D62EF4" w:rsidRPr="00200878" w:rsidTr="003E363D">
        <w:tc>
          <w:tcPr>
            <w:tcW w:w="1101" w:type="dxa"/>
          </w:tcPr>
          <w:p w:rsidR="00D62EF4" w:rsidRPr="00B81807" w:rsidRDefault="00D62EF4" w:rsidP="009E7B0D">
            <w:pPr>
              <w:jc w:val="center"/>
            </w:pPr>
            <w:r>
              <w:t>2</w:t>
            </w:r>
          </w:p>
        </w:tc>
        <w:tc>
          <w:tcPr>
            <w:tcW w:w="8470" w:type="dxa"/>
            <w:shd w:val="clear" w:color="auto" w:fill="auto"/>
            <w:vAlign w:val="center"/>
          </w:tcPr>
          <w:p w:rsidR="00D62EF4" w:rsidRDefault="00D62EF4" w:rsidP="003E363D">
            <w:pPr>
              <w:autoSpaceDE w:val="0"/>
              <w:autoSpaceDN w:val="0"/>
              <w:adjustRightInd w:val="0"/>
              <w:jc w:val="center"/>
              <w:rPr>
                <w:bCs/>
              </w:rPr>
            </w:pPr>
            <w:r w:rsidRPr="006B3F4C">
              <w:rPr>
                <w:bCs/>
              </w:rPr>
              <w:t xml:space="preserve">село </w:t>
            </w:r>
            <w:r w:rsidRPr="00F452C3">
              <w:rPr>
                <w:bCs/>
              </w:rPr>
              <w:t>Голицыно</w:t>
            </w:r>
          </w:p>
        </w:tc>
      </w:tr>
      <w:tr w:rsidR="00D62EF4" w:rsidRPr="00200878" w:rsidTr="003E363D">
        <w:tc>
          <w:tcPr>
            <w:tcW w:w="1101" w:type="dxa"/>
          </w:tcPr>
          <w:p w:rsidR="00D62EF4" w:rsidRDefault="00D62EF4" w:rsidP="009E7B0D">
            <w:pPr>
              <w:jc w:val="center"/>
            </w:pPr>
            <w:r>
              <w:t>3</w:t>
            </w:r>
          </w:p>
        </w:tc>
        <w:tc>
          <w:tcPr>
            <w:tcW w:w="8470" w:type="dxa"/>
            <w:shd w:val="clear" w:color="auto" w:fill="auto"/>
            <w:vAlign w:val="center"/>
          </w:tcPr>
          <w:p w:rsidR="00D62EF4" w:rsidRDefault="00D62EF4" w:rsidP="003E363D">
            <w:pPr>
              <w:autoSpaceDE w:val="0"/>
              <w:autoSpaceDN w:val="0"/>
              <w:adjustRightInd w:val="0"/>
              <w:jc w:val="center"/>
              <w:rPr>
                <w:bCs/>
              </w:rPr>
            </w:pPr>
            <w:r>
              <w:rPr>
                <w:bCs/>
              </w:rPr>
              <w:t xml:space="preserve">поселок </w:t>
            </w:r>
            <w:r w:rsidRPr="00F452C3">
              <w:rPr>
                <w:bCs/>
              </w:rPr>
              <w:t>Кириков</w:t>
            </w:r>
          </w:p>
        </w:tc>
      </w:tr>
      <w:tr w:rsidR="00D62EF4" w:rsidRPr="00200878" w:rsidTr="003E363D">
        <w:tc>
          <w:tcPr>
            <w:tcW w:w="1101" w:type="dxa"/>
          </w:tcPr>
          <w:p w:rsidR="00D62EF4" w:rsidRDefault="00D62EF4" w:rsidP="009E7B0D">
            <w:pPr>
              <w:jc w:val="center"/>
            </w:pPr>
            <w:r>
              <w:t>4</w:t>
            </w:r>
          </w:p>
        </w:tc>
        <w:tc>
          <w:tcPr>
            <w:tcW w:w="8470" w:type="dxa"/>
            <w:shd w:val="clear" w:color="auto" w:fill="auto"/>
            <w:vAlign w:val="center"/>
          </w:tcPr>
          <w:p w:rsidR="00D62EF4" w:rsidRDefault="00D62EF4" w:rsidP="003E363D">
            <w:pPr>
              <w:autoSpaceDE w:val="0"/>
              <w:autoSpaceDN w:val="0"/>
              <w:adjustRightInd w:val="0"/>
              <w:jc w:val="center"/>
              <w:rPr>
                <w:bCs/>
              </w:rPr>
            </w:pPr>
            <w:r>
              <w:rPr>
                <w:bCs/>
              </w:rPr>
              <w:t xml:space="preserve">поселок </w:t>
            </w:r>
            <w:proofErr w:type="spellStart"/>
            <w:r w:rsidRPr="00F452C3">
              <w:rPr>
                <w:bCs/>
              </w:rPr>
              <w:t>Новосамойловский</w:t>
            </w:r>
            <w:proofErr w:type="spellEnd"/>
          </w:p>
        </w:tc>
      </w:tr>
      <w:tr w:rsidR="00D62EF4" w:rsidRPr="00200878" w:rsidTr="003E363D">
        <w:tc>
          <w:tcPr>
            <w:tcW w:w="1101" w:type="dxa"/>
          </w:tcPr>
          <w:p w:rsidR="00D62EF4" w:rsidRDefault="00D62EF4" w:rsidP="009E7B0D">
            <w:pPr>
              <w:jc w:val="center"/>
            </w:pPr>
            <w:r>
              <w:t>5</w:t>
            </w:r>
          </w:p>
        </w:tc>
        <w:tc>
          <w:tcPr>
            <w:tcW w:w="8470" w:type="dxa"/>
            <w:shd w:val="clear" w:color="auto" w:fill="auto"/>
            <w:vAlign w:val="center"/>
          </w:tcPr>
          <w:p w:rsidR="00D62EF4" w:rsidRPr="00DD08CD" w:rsidRDefault="00D62EF4" w:rsidP="003E363D">
            <w:pPr>
              <w:autoSpaceDE w:val="0"/>
              <w:autoSpaceDN w:val="0"/>
              <w:adjustRightInd w:val="0"/>
              <w:jc w:val="center"/>
              <w:rPr>
                <w:bCs/>
              </w:rPr>
            </w:pPr>
            <w:r>
              <w:rPr>
                <w:bCs/>
              </w:rPr>
              <w:t>поселок Садовый</w:t>
            </w:r>
          </w:p>
        </w:tc>
      </w:tr>
    </w:tbl>
    <w:p w:rsidR="00D62EF4" w:rsidRDefault="00D62EF4" w:rsidP="00567013">
      <w:pPr>
        <w:ind w:firstLine="708"/>
        <w:jc w:val="both"/>
        <w:rPr>
          <w:spacing w:val="-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r w:rsidR="00D62EF4">
        <w:t>Хрущев</w:t>
      </w:r>
      <w:r w:rsidR="00567013">
        <w:t>ского</w:t>
      </w:r>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r w:rsidR="00D62EF4">
        <w:rPr>
          <w:b/>
          <w:bCs/>
        </w:rPr>
        <w:t>Хрущев</w:t>
      </w:r>
      <w:r>
        <w:rPr>
          <w:b/>
          <w:bCs/>
        </w:rPr>
        <w:t xml:space="preserve">ского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3E363D" w:rsidRDefault="003E363D" w:rsidP="00D3180D">
            <w:pPr>
              <w:jc w:val="center"/>
            </w:pPr>
            <w:r w:rsidRPr="003E363D">
              <w:t>1242</w:t>
            </w:r>
          </w:p>
        </w:tc>
        <w:tc>
          <w:tcPr>
            <w:tcW w:w="1134" w:type="dxa"/>
            <w:shd w:val="clear" w:color="auto" w:fill="auto"/>
          </w:tcPr>
          <w:p w:rsidR="0082232A" w:rsidRPr="003E363D" w:rsidRDefault="003E363D" w:rsidP="00D3180D">
            <w:pPr>
              <w:jc w:val="center"/>
            </w:pPr>
            <w:r w:rsidRPr="003E363D">
              <w:t>1235</w:t>
            </w:r>
          </w:p>
        </w:tc>
        <w:tc>
          <w:tcPr>
            <w:tcW w:w="992" w:type="dxa"/>
          </w:tcPr>
          <w:p w:rsidR="0082232A" w:rsidRPr="00D62EF4" w:rsidRDefault="003E363D" w:rsidP="00776FC7">
            <w:pPr>
              <w:jc w:val="center"/>
              <w:rPr>
                <w:highlight w:val="yellow"/>
              </w:rPr>
            </w:pPr>
            <w:r w:rsidRPr="003E363D">
              <w:t>1219</w:t>
            </w:r>
          </w:p>
        </w:tc>
        <w:tc>
          <w:tcPr>
            <w:tcW w:w="1134" w:type="dxa"/>
          </w:tcPr>
          <w:p w:rsidR="0082232A" w:rsidRPr="00F82AEA" w:rsidRDefault="00F82AEA" w:rsidP="00776FC7">
            <w:pPr>
              <w:jc w:val="center"/>
            </w:pPr>
            <w:r w:rsidRPr="00F82AEA">
              <w:t>1135</w:t>
            </w:r>
          </w:p>
        </w:tc>
        <w:tc>
          <w:tcPr>
            <w:tcW w:w="1134" w:type="dxa"/>
          </w:tcPr>
          <w:p w:rsidR="0082232A" w:rsidRPr="00F82AEA" w:rsidRDefault="00F82AEA" w:rsidP="00F82AEA">
            <w:pPr>
              <w:jc w:val="center"/>
            </w:pPr>
            <w:r w:rsidRPr="00F82AEA">
              <w:t>1132</w:t>
            </w:r>
          </w:p>
        </w:tc>
        <w:tc>
          <w:tcPr>
            <w:tcW w:w="1096" w:type="dxa"/>
          </w:tcPr>
          <w:p w:rsidR="0082232A" w:rsidRPr="00F82AEA" w:rsidRDefault="004047ED" w:rsidP="00F82AEA">
            <w:pPr>
              <w:jc w:val="center"/>
            </w:pPr>
            <w:r w:rsidRPr="00F82AEA">
              <w:t>1</w:t>
            </w:r>
            <w:r w:rsidR="00F82AEA" w:rsidRPr="00F82AEA">
              <w:t>140</w:t>
            </w:r>
          </w:p>
        </w:tc>
        <w:tc>
          <w:tcPr>
            <w:tcW w:w="996" w:type="dxa"/>
          </w:tcPr>
          <w:p w:rsidR="0082232A" w:rsidRPr="00F82AEA" w:rsidRDefault="004047ED" w:rsidP="00A5625B">
            <w:pPr>
              <w:jc w:val="center"/>
            </w:pPr>
            <w:r w:rsidRPr="00F82AEA">
              <w:t>1</w:t>
            </w:r>
            <w:r w:rsidR="00F82AEA" w:rsidRPr="00F82AEA">
              <w:t>0</w:t>
            </w:r>
            <w:r w:rsidR="00A5625B">
              <w:t>30</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1.2</w:t>
            </w:r>
          </w:p>
        </w:tc>
        <w:tc>
          <w:tcPr>
            <w:tcW w:w="2126" w:type="dxa"/>
            <w:shd w:val="clear" w:color="auto" w:fill="auto"/>
          </w:tcPr>
          <w:p w:rsidR="00567013" w:rsidRPr="000A6FFE" w:rsidRDefault="00567013" w:rsidP="00776FC7">
            <w:pPr>
              <w:jc w:val="center"/>
            </w:pPr>
            <w:r w:rsidRPr="000A6FFE">
              <w:t xml:space="preserve">Объекты, относящиеся к области тепло-, </w:t>
            </w:r>
            <w:r w:rsidRPr="000A6FFE">
              <w:lastRenderedPageBreak/>
              <w:t>газоснабжения</w:t>
            </w:r>
          </w:p>
        </w:tc>
        <w:tc>
          <w:tcPr>
            <w:tcW w:w="2126" w:type="dxa"/>
            <w:shd w:val="clear" w:color="auto" w:fill="auto"/>
          </w:tcPr>
          <w:p w:rsidR="00567013" w:rsidRPr="000A6FFE" w:rsidRDefault="00567013" w:rsidP="00776FC7">
            <w:pPr>
              <w:jc w:val="center"/>
            </w:pPr>
            <w:r w:rsidRPr="000A6FFE">
              <w:lastRenderedPageBreak/>
              <w:t xml:space="preserve">Расчетные показатели обеспеченности </w:t>
            </w:r>
            <w:r w:rsidRPr="000A6FFE">
              <w:lastRenderedPageBreak/>
              <w:t>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 xml:space="preserve">Установлены в соответствии с императивными требованиями СП 124.13330.2012. Свод правил. Тепловые </w:t>
            </w:r>
            <w:r w:rsidRPr="000A6FFE">
              <w:lastRenderedPageBreak/>
              <w:t xml:space="preserve">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A5625B" w:rsidRDefault="00567013" w:rsidP="00A5625B">
            <w:pPr>
              <w:jc w:val="center"/>
            </w:pPr>
            <w:r w:rsidRPr="000A6FFE">
              <w:t xml:space="preserve">Установлены в соответствии с императивными требованиями </w:t>
            </w:r>
            <w:r w:rsidR="00A5625B" w:rsidRPr="000A6FFE">
              <w:t>СП 3</w:t>
            </w:r>
            <w:r w:rsidR="00A5625B">
              <w:t>1</w:t>
            </w:r>
            <w:r w:rsidR="00A5625B" w:rsidRPr="000A6FFE">
              <w:t>.13330.20</w:t>
            </w:r>
            <w:r w:rsidR="00A5625B">
              <w:t>21</w:t>
            </w:r>
            <w:r w:rsidR="00A5625B" w:rsidRPr="000A6FFE">
              <w:t xml:space="preserve">. </w:t>
            </w:r>
            <w:r w:rsidR="00A5625B">
              <w:t>Водоснабжение. Наружные сети и сооружения</w:t>
            </w:r>
            <w:r w:rsidR="00A5625B" w:rsidRPr="000A6FFE">
              <w:t xml:space="preserve"> </w:t>
            </w:r>
            <w:proofErr w:type="spellStart"/>
            <w:r w:rsidR="00A5625B" w:rsidRPr="000A6FFE">
              <w:t>СНиП</w:t>
            </w:r>
            <w:proofErr w:type="spellEnd"/>
            <w:r w:rsidR="00A5625B" w:rsidRPr="000A6FFE">
              <w:t xml:space="preserve"> 2.04.0</w:t>
            </w:r>
            <w:r w:rsidR="00A5625B">
              <w:t>2</w:t>
            </w:r>
            <w:r w:rsidR="00A5625B" w:rsidRPr="000A6FFE">
              <w:t>-8</w:t>
            </w:r>
            <w:r w:rsidR="00A5625B">
              <w:t>4</w:t>
            </w:r>
            <w:r w:rsidR="00A5625B" w:rsidRPr="000A6FFE">
              <w:t xml:space="preserve">*, утв. Приказом </w:t>
            </w:r>
            <w:r w:rsidR="00A5625B">
              <w:t>Минстроя России от 27.12.2021 №2021 №1016/</w:t>
            </w:r>
            <w:proofErr w:type="spellStart"/>
            <w:proofErr w:type="gramStart"/>
            <w:r w:rsidR="00A5625B">
              <w:t>Пр</w:t>
            </w:r>
            <w:proofErr w:type="spellEnd"/>
            <w:proofErr w:type="gramEnd"/>
            <w:r w:rsidR="00A5625B" w:rsidRPr="000A6FFE">
              <w:t>;</w:t>
            </w:r>
          </w:p>
          <w:p w:rsidR="00A5625B" w:rsidRPr="000A6FFE" w:rsidRDefault="00A5625B" w:rsidP="00A5625B">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Приказом </w:t>
            </w:r>
            <w:r>
              <w:t>Минстроя России</w:t>
            </w:r>
            <w:r w:rsidRPr="000A6FFE">
              <w:t xml:space="preserve"> от </w:t>
            </w:r>
            <w:r>
              <w:t>30</w:t>
            </w:r>
            <w:r w:rsidRPr="000A6FFE">
              <w:t>.12.20</w:t>
            </w:r>
            <w:r>
              <w:t>20</w:t>
            </w:r>
            <w:r w:rsidRPr="000A6FFE">
              <w:t xml:space="preserve"> N </w:t>
            </w:r>
            <w:r>
              <w:t>920</w:t>
            </w:r>
            <w:proofErr w:type="gramStart"/>
            <w:r>
              <w:t>/П</w:t>
            </w:r>
            <w:proofErr w:type="gramEnd"/>
            <w:r>
              <w:t>р.</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w:t>
            </w:r>
            <w:r w:rsidRPr="000A6FFE">
              <w:lastRenderedPageBreak/>
              <w:t>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A5625B">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A5625B">
            <w:pPr>
              <w:widowControl w:val="0"/>
              <w:autoSpaceDE w:val="0"/>
              <w:autoSpaceDN w:val="0"/>
              <w:adjustRightInd w:val="0"/>
              <w:contextualSpacing/>
              <w:jc w:val="center"/>
            </w:pPr>
            <w:r w:rsidRPr="000A6FFE">
              <w:t xml:space="preserve">Установлены в соответствии с императивными требованиями </w:t>
            </w:r>
            <w:r w:rsidR="00A5625B" w:rsidRPr="000A6FFE">
              <w:t>СП 32.13330.201</w:t>
            </w:r>
            <w:r w:rsidR="00A5625B">
              <w:t>8</w:t>
            </w:r>
            <w:r w:rsidR="00A5625B" w:rsidRPr="000A6FFE">
              <w:t>. Свод правил. Канализа</w:t>
            </w:r>
            <w:r w:rsidR="00A5625B">
              <w:t>ция. Наружные сети и сооружения</w:t>
            </w:r>
            <w:r w:rsidR="00A5625B" w:rsidRPr="000A6FFE">
              <w:t>, утв. Приказом Мин</w:t>
            </w:r>
            <w:r w:rsidR="00A5625B">
              <w:t>строя</w:t>
            </w:r>
            <w:r w:rsidR="00A5625B" w:rsidRPr="000A6FFE">
              <w:t xml:space="preserve"> России от 2</w:t>
            </w:r>
            <w:r w:rsidR="00A5625B">
              <w:t>5</w:t>
            </w:r>
            <w:r w:rsidR="00A5625B" w:rsidRPr="000A6FFE">
              <w:t>.12.201</w:t>
            </w:r>
            <w:r w:rsidR="00A5625B">
              <w:t>8</w:t>
            </w:r>
            <w:r w:rsidR="00A5625B" w:rsidRPr="000A6FFE">
              <w:t xml:space="preserve"> N </w:t>
            </w:r>
            <w:r w:rsidR="00A5625B">
              <w:t>860/</w:t>
            </w:r>
            <w:proofErr w:type="spellStart"/>
            <w:proofErr w:type="gramStart"/>
            <w:r w:rsidR="00A5625B">
              <w:t>Пр</w:t>
            </w:r>
            <w:proofErr w:type="spellEnd"/>
            <w:proofErr w:type="gramEnd"/>
            <w:r w:rsidR="00A5625B" w:rsidRPr="000A6FFE">
              <w:t>;</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w:t>
            </w:r>
            <w:r w:rsidRPr="000A6FFE">
              <w:lastRenderedPageBreak/>
              <w:t xml:space="preserve">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A5625B" w:rsidRDefault="00A5625B" w:rsidP="00A5625B">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w:t>
            </w:r>
            <w:proofErr w:type="spellStart"/>
            <w:r w:rsidRPr="000A6FFE">
              <w:t>СНиП</w:t>
            </w:r>
            <w:proofErr w:type="spellEnd"/>
            <w:r w:rsidRPr="000A6FFE">
              <w:t xml:space="preserve">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rsidRPr="000A6FFE">
              <w:t xml:space="preserve"> </w:t>
            </w:r>
          </w:p>
          <w:p w:rsidR="00567013" w:rsidRPr="000A6FFE" w:rsidRDefault="00A5625B" w:rsidP="00A5625B">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t>5</w:t>
            </w:r>
            <w:r w:rsidRPr="000A6FFE">
              <w:t xml:space="preserve">.2.1, </w:t>
            </w:r>
            <w:r>
              <w:t>5</w:t>
            </w:r>
            <w:r w:rsidRPr="000A6FFE">
              <w:t>.2.3 СП 59.13330.20</w:t>
            </w:r>
            <w:r>
              <w:t>20</w:t>
            </w:r>
            <w:r w:rsidRPr="000A6FFE">
              <w:t xml:space="preserve"> </w:t>
            </w:r>
            <w:r w:rsidR="00567013" w:rsidRPr="000A6FFE">
              <w:t xml:space="preserve">«Доступность зданий и сооружений для </w:t>
            </w:r>
            <w:proofErr w:type="spellStart"/>
            <w:r w:rsidR="00567013" w:rsidRPr="000A6FFE">
              <w:t>маломобильных</w:t>
            </w:r>
            <w:proofErr w:type="spellEnd"/>
            <w:r w:rsidR="00567013" w:rsidRPr="000A6FFE">
              <w:t xml:space="preserve"> групп населения».</w:t>
            </w:r>
          </w:p>
          <w:p w:rsidR="00567013" w:rsidRPr="000A6FFE" w:rsidRDefault="00567013" w:rsidP="00BB77B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w:t>
            </w:r>
            <w:r w:rsidRPr="00D632F5">
              <w:lastRenderedPageBreak/>
              <w:t>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 xml:space="preserve">Расчетные показатели </w:t>
            </w:r>
            <w:r w:rsidRPr="000A6FFE">
              <w:lastRenderedPageBreak/>
              <w:t>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A5625B">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A5625B">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w:t>
            </w:r>
            <w:r w:rsidRPr="000A6FFE">
              <w:lastRenderedPageBreak/>
              <w:t xml:space="preserve">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A5625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A5625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A5625B">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A5625B">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 xml:space="preserve">Расчетные показатели обеспеченности </w:t>
            </w:r>
            <w:r w:rsidRPr="002A6DF6">
              <w:lastRenderedPageBreak/>
              <w:t>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lastRenderedPageBreak/>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w:t>
            </w:r>
            <w:r w:rsidRPr="00D632F5">
              <w:lastRenderedPageBreak/>
              <w:t xml:space="preserve">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4.</w:t>
            </w:r>
            <w:r w:rsidR="00B21B23">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B21B2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B21B23">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4.</w:t>
            </w:r>
            <w:r w:rsidR="00B21B23">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w:t>
            </w:r>
            <w:r w:rsidRPr="000A6FFE">
              <w:lastRenderedPageBreak/>
              <w:t>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w:t>
            </w:r>
            <w:r w:rsidR="008D4705" w:rsidRPr="00D632F5">
              <w:t xml:space="preserve">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B21B2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B21B23">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B21B23">
            <w:pPr>
              <w:widowControl w:val="0"/>
              <w:autoSpaceDE w:val="0"/>
              <w:autoSpaceDN w:val="0"/>
              <w:adjustRightInd w:val="0"/>
              <w:contextualSpacing/>
              <w:jc w:val="center"/>
            </w:pPr>
            <w:r w:rsidRPr="000A6FFE">
              <w:t xml:space="preserve">Помещения </w:t>
            </w:r>
            <w:r w:rsidR="00B21B23">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B21B23" w:rsidRPr="000A6FFE" w:rsidTr="00776FC7">
        <w:trPr>
          <w:trHeight w:val="65"/>
        </w:trPr>
        <w:tc>
          <w:tcPr>
            <w:tcW w:w="691" w:type="dxa"/>
            <w:shd w:val="clear" w:color="auto" w:fill="auto"/>
          </w:tcPr>
          <w:p w:rsidR="00B21B23" w:rsidRPr="000A6FFE" w:rsidRDefault="00B21B23" w:rsidP="00776FC7">
            <w:pPr>
              <w:widowControl w:val="0"/>
              <w:autoSpaceDE w:val="0"/>
              <w:autoSpaceDN w:val="0"/>
              <w:adjustRightInd w:val="0"/>
              <w:contextualSpacing/>
              <w:jc w:val="center"/>
            </w:pPr>
            <w:r w:rsidRPr="000A6FFE">
              <w:t>6.1</w:t>
            </w:r>
          </w:p>
        </w:tc>
        <w:tc>
          <w:tcPr>
            <w:tcW w:w="2126" w:type="dxa"/>
            <w:vMerge w:val="restart"/>
            <w:shd w:val="clear" w:color="auto" w:fill="auto"/>
          </w:tcPr>
          <w:p w:rsidR="00B21B23" w:rsidRPr="000A6FFE" w:rsidRDefault="00932C9E" w:rsidP="00776FC7">
            <w:pPr>
              <w:widowControl w:val="0"/>
              <w:autoSpaceDE w:val="0"/>
              <w:autoSpaceDN w:val="0"/>
              <w:adjustRightInd w:val="0"/>
              <w:contextualSpacing/>
            </w:pPr>
            <w:r>
              <w:t>Накопление, в</w:t>
            </w:r>
            <w:r w:rsidR="00B21B23" w:rsidRPr="000A6FFE">
              <w:t xml:space="preserve">ывоз бытового </w:t>
            </w:r>
          </w:p>
          <w:p w:rsidR="00B21B23" w:rsidRPr="000A6FFE" w:rsidRDefault="00B21B23" w:rsidP="00776FC7">
            <w:pPr>
              <w:widowControl w:val="0"/>
              <w:autoSpaceDE w:val="0"/>
              <w:autoSpaceDN w:val="0"/>
              <w:adjustRightInd w:val="0"/>
              <w:contextualSpacing/>
            </w:pPr>
            <w:r w:rsidRPr="000A6FFE">
              <w:t>мусора</w:t>
            </w:r>
          </w:p>
        </w:tc>
        <w:tc>
          <w:tcPr>
            <w:tcW w:w="2126" w:type="dxa"/>
            <w:vMerge w:val="restart"/>
            <w:shd w:val="clear" w:color="auto" w:fill="auto"/>
          </w:tcPr>
          <w:p w:rsidR="00B21B23" w:rsidRPr="000A6FFE" w:rsidRDefault="00B21B2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B21B23" w:rsidRPr="000A6FFE" w:rsidRDefault="00B21B23" w:rsidP="00B21B23">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B21B23" w:rsidRPr="000A6FFE" w:rsidTr="00776FC7">
        <w:trPr>
          <w:trHeight w:val="65"/>
        </w:trPr>
        <w:tc>
          <w:tcPr>
            <w:tcW w:w="691" w:type="dxa"/>
            <w:shd w:val="clear" w:color="auto" w:fill="auto"/>
          </w:tcPr>
          <w:p w:rsidR="00B21B23" w:rsidRPr="000A6FFE" w:rsidRDefault="00B21B23" w:rsidP="00776FC7">
            <w:pPr>
              <w:widowControl w:val="0"/>
              <w:autoSpaceDE w:val="0"/>
              <w:autoSpaceDN w:val="0"/>
              <w:adjustRightInd w:val="0"/>
              <w:contextualSpacing/>
              <w:jc w:val="center"/>
            </w:pPr>
          </w:p>
        </w:tc>
        <w:tc>
          <w:tcPr>
            <w:tcW w:w="2126" w:type="dxa"/>
            <w:vMerge/>
            <w:shd w:val="clear" w:color="auto" w:fill="auto"/>
          </w:tcPr>
          <w:p w:rsidR="00B21B23" w:rsidRPr="000A6FFE" w:rsidRDefault="00B21B23" w:rsidP="00776FC7">
            <w:pPr>
              <w:widowControl w:val="0"/>
              <w:autoSpaceDE w:val="0"/>
              <w:autoSpaceDN w:val="0"/>
              <w:adjustRightInd w:val="0"/>
              <w:contextualSpacing/>
            </w:pPr>
          </w:p>
        </w:tc>
        <w:tc>
          <w:tcPr>
            <w:tcW w:w="2126" w:type="dxa"/>
            <w:vMerge/>
            <w:shd w:val="clear" w:color="auto" w:fill="auto"/>
          </w:tcPr>
          <w:p w:rsidR="00B21B23" w:rsidRPr="000A6FFE" w:rsidRDefault="00B21B23" w:rsidP="00776FC7">
            <w:pPr>
              <w:shd w:val="clear" w:color="auto" w:fill="FFFFFF"/>
              <w:contextualSpacing/>
              <w:jc w:val="center"/>
            </w:pPr>
          </w:p>
        </w:tc>
        <w:tc>
          <w:tcPr>
            <w:tcW w:w="4555" w:type="dxa"/>
            <w:vMerge/>
            <w:shd w:val="clear" w:color="auto" w:fill="auto"/>
          </w:tcPr>
          <w:p w:rsidR="00B21B23" w:rsidRPr="000A6FFE" w:rsidRDefault="00B21B2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 xml:space="preserve">Расчетные показатели обеспеченности </w:t>
            </w:r>
            <w:r w:rsidRPr="000A6FFE">
              <w:lastRenderedPageBreak/>
              <w:t>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0E3543">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E3543">
              <w:t>Хрущев</w:t>
            </w:r>
            <w:r>
              <w:t>ского</w:t>
            </w:r>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B21B23" w:rsidRDefault="00B21B23" w:rsidP="00567013">
      <w:pPr>
        <w:jc w:val="both"/>
      </w:pPr>
    </w:p>
    <w:p w:rsidR="00567013" w:rsidRDefault="00567013" w:rsidP="00567013">
      <w:pPr>
        <w:jc w:val="both"/>
      </w:pPr>
    </w:p>
    <w:p w:rsidR="00567013" w:rsidRDefault="00567013"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rsidR="000E3543">
        <w:t>Хрущев</w:t>
      </w:r>
      <w:r>
        <w:t xml:space="preserve">ском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rsidR="000E3543">
        <w:t>Хрущев</w:t>
      </w:r>
      <w:r>
        <w:t xml:space="preserve">ского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DA" w:rsidRDefault="005F37DA" w:rsidP="00F8216B">
      <w:r>
        <w:separator/>
      </w:r>
    </w:p>
  </w:endnote>
  <w:endnote w:type="continuationSeparator" w:id="0">
    <w:p w:rsidR="005F37DA" w:rsidRDefault="005F37DA"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2" w:rsidRDefault="00C333AD" w:rsidP="00B1214E">
    <w:pPr>
      <w:pStyle w:val="a9"/>
      <w:framePr w:wrap="auto" w:vAnchor="text" w:hAnchor="margin" w:xAlign="right" w:y="1"/>
      <w:rPr>
        <w:rStyle w:val="af3"/>
      </w:rPr>
    </w:pPr>
    <w:r>
      <w:rPr>
        <w:rStyle w:val="af3"/>
      </w:rPr>
      <w:fldChar w:fldCharType="begin"/>
    </w:r>
    <w:r w:rsidR="00C97A12">
      <w:rPr>
        <w:rStyle w:val="af3"/>
      </w:rPr>
      <w:instrText xml:space="preserve">PAGE  </w:instrText>
    </w:r>
    <w:r>
      <w:rPr>
        <w:rStyle w:val="af3"/>
      </w:rPr>
      <w:fldChar w:fldCharType="separate"/>
    </w:r>
    <w:r w:rsidR="00932C9E">
      <w:rPr>
        <w:rStyle w:val="af3"/>
        <w:noProof/>
      </w:rPr>
      <w:t>29</w:t>
    </w:r>
    <w:r>
      <w:rPr>
        <w:rStyle w:val="af3"/>
      </w:rPr>
      <w:fldChar w:fldCharType="end"/>
    </w:r>
  </w:p>
  <w:p w:rsidR="00C97A12" w:rsidRDefault="00C97A12"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DA" w:rsidRDefault="005F37DA" w:rsidP="00F8216B">
      <w:r>
        <w:separator/>
      </w:r>
    </w:p>
  </w:footnote>
  <w:footnote w:type="continuationSeparator" w:id="0">
    <w:p w:rsidR="005F37DA" w:rsidRDefault="005F37DA"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0D1C31"/>
    <w:rsid w:val="000E3543"/>
    <w:rsid w:val="00111315"/>
    <w:rsid w:val="00116F82"/>
    <w:rsid w:val="001175F8"/>
    <w:rsid w:val="0012304E"/>
    <w:rsid w:val="001364AE"/>
    <w:rsid w:val="00155C13"/>
    <w:rsid w:val="00156CAE"/>
    <w:rsid w:val="001773F5"/>
    <w:rsid w:val="00183E64"/>
    <w:rsid w:val="00184C69"/>
    <w:rsid w:val="00191873"/>
    <w:rsid w:val="00192AC2"/>
    <w:rsid w:val="001C2EFE"/>
    <w:rsid w:val="001C36FB"/>
    <w:rsid w:val="001C5C54"/>
    <w:rsid w:val="001D1F3D"/>
    <w:rsid w:val="001E2526"/>
    <w:rsid w:val="001E3AF9"/>
    <w:rsid w:val="001E7C9D"/>
    <w:rsid w:val="001F1309"/>
    <w:rsid w:val="00200878"/>
    <w:rsid w:val="00204ABD"/>
    <w:rsid w:val="00231056"/>
    <w:rsid w:val="00240F71"/>
    <w:rsid w:val="0025571C"/>
    <w:rsid w:val="00260549"/>
    <w:rsid w:val="002658A8"/>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859EE"/>
    <w:rsid w:val="003915CF"/>
    <w:rsid w:val="003A0602"/>
    <w:rsid w:val="003A78AB"/>
    <w:rsid w:val="003D1267"/>
    <w:rsid w:val="003E0780"/>
    <w:rsid w:val="003E363D"/>
    <w:rsid w:val="003F1B6F"/>
    <w:rsid w:val="004047ED"/>
    <w:rsid w:val="00416EF6"/>
    <w:rsid w:val="00434B5A"/>
    <w:rsid w:val="00441A1C"/>
    <w:rsid w:val="00450CCA"/>
    <w:rsid w:val="00493523"/>
    <w:rsid w:val="004A52B8"/>
    <w:rsid w:val="004C2E4F"/>
    <w:rsid w:val="004C590D"/>
    <w:rsid w:val="004D16BD"/>
    <w:rsid w:val="004F5E42"/>
    <w:rsid w:val="00513449"/>
    <w:rsid w:val="00516AC8"/>
    <w:rsid w:val="005277F6"/>
    <w:rsid w:val="00533402"/>
    <w:rsid w:val="005428F7"/>
    <w:rsid w:val="00545A14"/>
    <w:rsid w:val="00550E8A"/>
    <w:rsid w:val="00565D25"/>
    <w:rsid w:val="00567013"/>
    <w:rsid w:val="005804FE"/>
    <w:rsid w:val="005855A2"/>
    <w:rsid w:val="0058766B"/>
    <w:rsid w:val="005F290F"/>
    <w:rsid w:val="005F37DA"/>
    <w:rsid w:val="00601491"/>
    <w:rsid w:val="006C68BC"/>
    <w:rsid w:val="006E1FDA"/>
    <w:rsid w:val="006F7AF3"/>
    <w:rsid w:val="00707CE5"/>
    <w:rsid w:val="00722146"/>
    <w:rsid w:val="00724A3B"/>
    <w:rsid w:val="00760B01"/>
    <w:rsid w:val="0076321E"/>
    <w:rsid w:val="00775F73"/>
    <w:rsid w:val="00776FC7"/>
    <w:rsid w:val="00791146"/>
    <w:rsid w:val="007958F8"/>
    <w:rsid w:val="007B146B"/>
    <w:rsid w:val="007C6E70"/>
    <w:rsid w:val="007C7143"/>
    <w:rsid w:val="007C7215"/>
    <w:rsid w:val="007C7F2B"/>
    <w:rsid w:val="007F6399"/>
    <w:rsid w:val="007F6FAD"/>
    <w:rsid w:val="0080725F"/>
    <w:rsid w:val="00814107"/>
    <w:rsid w:val="00820E69"/>
    <w:rsid w:val="00821B6A"/>
    <w:rsid w:val="0082232A"/>
    <w:rsid w:val="00824D79"/>
    <w:rsid w:val="00836ECD"/>
    <w:rsid w:val="00843683"/>
    <w:rsid w:val="00850565"/>
    <w:rsid w:val="00865F11"/>
    <w:rsid w:val="008A1260"/>
    <w:rsid w:val="008B7274"/>
    <w:rsid w:val="008D4705"/>
    <w:rsid w:val="008E2498"/>
    <w:rsid w:val="008F3E54"/>
    <w:rsid w:val="00904A48"/>
    <w:rsid w:val="00921702"/>
    <w:rsid w:val="00926164"/>
    <w:rsid w:val="00932C9E"/>
    <w:rsid w:val="0094365E"/>
    <w:rsid w:val="009459B0"/>
    <w:rsid w:val="00950761"/>
    <w:rsid w:val="00961B7F"/>
    <w:rsid w:val="00970003"/>
    <w:rsid w:val="009734BB"/>
    <w:rsid w:val="00975DC0"/>
    <w:rsid w:val="009E1F64"/>
    <w:rsid w:val="009E7B0D"/>
    <w:rsid w:val="009F28CC"/>
    <w:rsid w:val="00A03748"/>
    <w:rsid w:val="00A1273A"/>
    <w:rsid w:val="00A13C91"/>
    <w:rsid w:val="00A17C64"/>
    <w:rsid w:val="00A27381"/>
    <w:rsid w:val="00A405EC"/>
    <w:rsid w:val="00A5625B"/>
    <w:rsid w:val="00A57CB7"/>
    <w:rsid w:val="00A67D7E"/>
    <w:rsid w:val="00A70B2F"/>
    <w:rsid w:val="00A7355F"/>
    <w:rsid w:val="00AA3D57"/>
    <w:rsid w:val="00AA76E3"/>
    <w:rsid w:val="00AC3759"/>
    <w:rsid w:val="00AF189C"/>
    <w:rsid w:val="00B0539C"/>
    <w:rsid w:val="00B1214E"/>
    <w:rsid w:val="00B12EC4"/>
    <w:rsid w:val="00B21B23"/>
    <w:rsid w:val="00B22ADA"/>
    <w:rsid w:val="00B40F66"/>
    <w:rsid w:val="00B72AF8"/>
    <w:rsid w:val="00B85CA3"/>
    <w:rsid w:val="00B935AD"/>
    <w:rsid w:val="00B95EF7"/>
    <w:rsid w:val="00BA48DA"/>
    <w:rsid w:val="00BB77B9"/>
    <w:rsid w:val="00BD0F84"/>
    <w:rsid w:val="00BD10E1"/>
    <w:rsid w:val="00BD33D8"/>
    <w:rsid w:val="00BF4D62"/>
    <w:rsid w:val="00C06639"/>
    <w:rsid w:val="00C172FA"/>
    <w:rsid w:val="00C32D86"/>
    <w:rsid w:val="00C333AD"/>
    <w:rsid w:val="00C36AB6"/>
    <w:rsid w:val="00C422D4"/>
    <w:rsid w:val="00C42B7F"/>
    <w:rsid w:val="00C532E9"/>
    <w:rsid w:val="00C93E21"/>
    <w:rsid w:val="00C97A12"/>
    <w:rsid w:val="00CA30BE"/>
    <w:rsid w:val="00CA5A5C"/>
    <w:rsid w:val="00CB6B8C"/>
    <w:rsid w:val="00CC58FF"/>
    <w:rsid w:val="00CD77DF"/>
    <w:rsid w:val="00CE00D4"/>
    <w:rsid w:val="00CE3F7D"/>
    <w:rsid w:val="00CE423E"/>
    <w:rsid w:val="00CE6FA9"/>
    <w:rsid w:val="00CF6B30"/>
    <w:rsid w:val="00D2552C"/>
    <w:rsid w:val="00D3180D"/>
    <w:rsid w:val="00D469A2"/>
    <w:rsid w:val="00D470D0"/>
    <w:rsid w:val="00D62326"/>
    <w:rsid w:val="00D62EF4"/>
    <w:rsid w:val="00D632F5"/>
    <w:rsid w:val="00D65D20"/>
    <w:rsid w:val="00D676C9"/>
    <w:rsid w:val="00D71D0D"/>
    <w:rsid w:val="00D71D84"/>
    <w:rsid w:val="00D73B2D"/>
    <w:rsid w:val="00D87DD9"/>
    <w:rsid w:val="00D959B1"/>
    <w:rsid w:val="00DB4DAD"/>
    <w:rsid w:val="00DB6899"/>
    <w:rsid w:val="00DC4303"/>
    <w:rsid w:val="00DC73BA"/>
    <w:rsid w:val="00DE49E3"/>
    <w:rsid w:val="00DE6E55"/>
    <w:rsid w:val="00DF24F4"/>
    <w:rsid w:val="00DF7596"/>
    <w:rsid w:val="00DF7F19"/>
    <w:rsid w:val="00E001CC"/>
    <w:rsid w:val="00E0125C"/>
    <w:rsid w:val="00E24CAE"/>
    <w:rsid w:val="00E3087C"/>
    <w:rsid w:val="00E82E99"/>
    <w:rsid w:val="00E9605D"/>
    <w:rsid w:val="00E97B45"/>
    <w:rsid w:val="00EB525C"/>
    <w:rsid w:val="00ED16BC"/>
    <w:rsid w:val="00ED4C7A"/>
    <w:rsid w:val="00EE5EF8"/>
    <w:rsid w:val="00F13664"/>
    <w:rsid w:val="00F16D71"/>
    <w:rsid w:val="00F32EE3"/>
    <w:rsid w:val="00F359E9"/>
    <w:rsid w:val="00F42DCA"/>
    <w:rsid w:val="00F57590"/>
    <w:rsid w:val="00F67DD4"/>
    <w:rsid w:val="00F75CD6"/>
    <w:rsid w:val="00F8216B"/>
    <w:rsid w:val="00F82AEA"/>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32</Pages>
  <Words>9867</Words>
  <Characters>56245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44</cp:revision>
  <cp:lastPrinted>2022-11-24T07:46:00Z</cp:lastPrinted>
  <dcterms:created xsi:type="dcterms:W3CDTF">2022-08-18T09:00:00Z</dcterms:created>
  <dcterms:modified xsi:type="dcterms:W3CDTF">2022-11-24T07:46:00Z</dcterms:modified>
</cp:coreProperties>
</file>